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269A" w14:textId="77777777" w:rsidR="00470024" w:rsidRPr="005B47D0" w:rsidRDefault="0034568A" w:rsidP="0034568A">
      <w:pPr>
        <w:jc w:val="center"/>
        <w:rPr>
          <w:rFonts w:cs="Arial"/>
          <w:b/>
        </w:rPr>
      </w:pPr>
      <w:r w:rsidRPr="005B47D0">
        <w:rPr>
          <w:rFonts w:cs="Arial"/>
          <w:b/>
        </w:rPr>
        <w:t>KUPNÍ SMLOUVA</w:t>
      </w:r>
    </w:p>
    <w:p w14:paraId="35C3E72B" w14:textId="77777777" w:rsidR="0034568A" w:rsidRPr="005B47D0" w:rsidRDefault="0034568A" w:rsidP="0034568A">
      <w:pPr>
        <w:jc w:val="center"/>
        <w:rPr>
          <w:rFonts w:cs="Arial"/>
          <w:b/>
        </w:rPr>
      </w:pPr>
      <w:r w:rsidRPr="005B47D0">
        <w:rPr>
          <w:rFonts w:cs="Arial"/>
          <w:b/>
        </w:rPr>
        <w:t>(dle § 2079 a násl. Zákona č. 89/2012 Sb., občanského zákoníku v platném znění)</w:t>
      </w:r>
    </w:p>
    <w:p w14:paraId="378834F6" w14:textId="77777777" w:rsidR="0034568A" w:rsidRPr="005B47D0" w:rsidRDefault="0034568A" w:rsidP="0034568A">
      <w:pPr>
        <w:jc w:val="center"/>
        <w:rPr>
          <w:rFonts w:cs="Arial"/>
        </w:rPr>
      </w:pPr>
      <w:r w:rsidRPr="005B47D0">
        <w:rPr>
          <w:rFonts w:cs="Arial"/>
        </w:rPr>
        <w:t>Smluvní strany:</w:t>
      </w:r>
    </w:p>
    <w:p w14:paraId="7F64A11F" w14:textId="77777777" w:rsidR="0034568A" w:rsidRPr="005B47D0" w:rsidRDefault="0034568A" w:rsidP="0034568A">
      <w:pPr>
        <w:pStyle w:val="Odstavecseseznamem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5B47D0">
        <w:rPr>
          <w:rFonts w:cs="Arial"/>
          <w:b/>
        </w:rPr>
        <w:t>Město Turnov</w:t>
      </w:r>
    </w:p>
    <w:p w14:paraId="528627B5" w14:textId="77777777" w:rsidR="0034568A" w:rsidRPr="005B47D0" w:rsidRDefault="0034568A" w:rsidP="0034568A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 xml:space="preserve">Se sídlem Antonína Dvořáka 335, 511 </w:t>
      </w:r>
      <w:r w:rsidR="00216E01">
        <w:rPr>
          <w:rFonts w:cs="Arial"/>
        </w:rPr>
        <w:t>01</w:t>
      </w:r>
      <w:r w:rsidRPr="005B47D0">
        <w:rPr>
          <w:rFonts w:cs="Arial"/>
        </w:rPr>
        <w:t xml:space="preserve"> Turnov</w:t>
      </w:r>
    </w:p>
    <w:p w14:paraId="7FAE37EC" w14:textId="77777777" w:rsidR="0034568A" w:rsidRPr="005B47D0" w:rsidRDefault="0034568A" w:rsidP="0034568A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>IČ:</w:t>
      </w:r>
      <w:r w:rsidR="008E2CD4" w:rsidRPr="005B47D0">
        <w:rPr>
          <w:rFonts w:cs="Arial"/>
        </w:rPr>
        <w:t xml:space="preserve"> 00276227</w:t>
      </w:r>
    </w:p>
    <w:p w14:paraId="59A44B86" w14:textId="77777777" w:rsidR="0034568A" w:rsidRPr="005B47D0" w:rsidRDefault="0034568A" w:rsidP="0034568A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>DIČ:</w:t>
      </w:r>
      <w:r w:rsidR="008E2CD4" w:rsidRPr="005B47D0">
        <w:rPr>
          <w:rFonts w:cs="Arial"/>
        </w:rPr>
        <w:t xml:space="preserve"> CZ00276227</w:t>
      </w:r>
    </w:p>
    <w:p w14:paraId="0EF23803" w14:textId="77777777" w:rsidR="00D0259C" w:rsidRPr="005B47D0" w:rsidRDefault="0034568A" w:rsidP="00D0259C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>Bankovní spojení:</w:t>
      </w:r>
      <w:r w:rsidR="008E2CD4" w:rsidRPr="005B47D0">
        <w:rPr>
          <w:rFonts w:cs="Arial"/>
        </w:rPr>
        <w:t xml:space="preserve"> </w:t>
      </w:r>
      <w:r w:rsidR="00D0259C" w:rsidRPr="005B47D0">
        <w:rPr>
          <w:rFonts w:cs="Arial"/>
        </w:rPr>
        <w:t>Česká spořitelna, a.s. Turnov</w:t>
      </w:r>
    </w:p>
    <w:p w14:paraId="7D5B86E1" w14:textId="77777777" w:rsidR="00D0259C" w:rsidRPr="005B47D0" w:rsidRDefault="0034568A" w:rsidP="00D0259C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>Účet číslo:</w:t>
      </w:r>
      <w:r w:rsidR="00D0259C" w:rsidRPr="005B47D0">
        <w:rPr>
          <w:rFonts w:cs="Arial"/>
        </w:rPr>
        <w:t xml:space="preserve"> 27-1263075359/0800</w:t>
      </w:r>
    </w:p>
    <w:p w14:paraId="3B5263FE" w14:textId="77777777" w:rsidR="0034568A" w:rsidRPr="005B47D0" w:rsidRDefault="0019484E" w:rsidP="0034568A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>Jednající ve smluvních věcech</w:t>
      </w:r>
      <w:r w:rsidR="008E2351">
        <w:rPr>
          <w:rFonts w:cs="Arial"/>
        </w:rPr>
        <w:t>: Ing. Tomáš</w:t>
      </w:r>
      <w:r w:rsidR="0034568A" w:rsidRPr="005B47D0">
        <w:rPr>
          <w:rFonts w:cs="Arial"/>
        </w:rPr>
        <w:t xml:space="preserve"> Hoc</w:t>
      </w:r>
      <w:r w:rsidR="00326C7A">
        <w:rPr>
          <w:rFonts w:cs="Arial"/>
        </w:rPr>
        <w:t>ke</w:t>
      </w:r>
      <w:r w:rsidR="0034568A" w:rsidRPr="005B47D0">
        <w:rPr>
          <w:rFonts w:cs="Arial"/>
        </w:rPr>
        <w:t>, starost</w:t>
      </w:r>
      <w:r w:rsidR="00326C7A">
        <w:rPr>
          <w:rFonts w:cs="Arial"/>
        </w:rPr>
        <w:t>a</w:t>
      </w:r>
      <w:r w:rsidR="0034568A" w:rsidRPr="005B47D0">
        <w:rPr>
          <w:rFonts w:cs="Arial"/>
        </w:rPr>
        <w:t xml:space="preserve"> města</w:t>
      </w:r>
    </w:p>
    <w:p w14:paraId="62D2E3A9" w14:textId="77777777" w:rsidR="0034568A" w:rsidRPr="005B47D0" w:rsidRDefault="0019484E" w:rsidP="0034568A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>a technických věcech</w:t>
      </w:r>
      <w:r w:rsidR="0034568A" w:rsidRPr="005B47D0">
        <w:rPr>
          <w:rFonts w:cs="Arial"/>
        </w:rPr>
        <w:t>:</w:t>
      </w:r>
      <w:r w:rsidR="00D0259C" w:rsidRPr="005B47D0">
        <w:rPr>
          <w:rFonts w:cs="Arial"/>
        </w:rPr>
        <w:t xml:space="preserve"> Ing. Jan Zárybnický</w:t>
      </w:r>
      <w:r w:rsidR="00AC70D3">
        <w:rPr>
          <w:rFonts w:cs="Arial"/>
        </w:rPr>
        <w:t xml:space="preserve">, </w:t>
      </w:r>
      <w:hyperlink r:id="rId8" w:history="1">
        <w:r w:rsidR="004928AA" w:rsidRPr="00E627CE">
          <w:rPr>
            <w:rStyle w:val="Hypertextovodkaz"/>
            <w:rFonts w:cs="Arial"/>
          </w:rPr>
          <w:t>j.zarybnicky@mu.turnov.cz</w:t>
        </w:r>
      </w:hyperlink>
      <w:r w:rsidR="004928AA">
        <w:rPr>
          <w:rFonts w:cs="Arial"/>
        </w:rPr>
        <w:t>, tel. 481 366 115</w:t>
      </w:r>
    </w:p>
    <w:p w14:paraId="4F74A2CF" w14:textId="77777777" w:rsidR="0034568A" w:rsidRPr="005B47D0" w:rsidRDefault="0034568A" w:rsidP="002B2FBC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 xml:space="preserve">(dále jen jako </w:t>
      </w:r>
      <w:r w:rsidRPr="005B47D0">
        <w:rPr>
          <w:rFonts w:cs="Arial"/>
          <w:b/>
        </w:rPr>
        <w:t>„kupující“</w:t>
      </w:r>
      <w:r w:rsidRPr="005B47D0">
        <w:rPr>
          <w:rFonts w:cs="Arial"/>
        </w:rPr>
        <w:t>)</w:t>
      </w:r>
    </w:p>
    <w:p w14:paraId="4896C5ED" w14:textId="77777777" w:rsidR="002B2FBC" w:rsidRPr="005B47D0" w:rsidRDefault="002B2FBC" w:rsidP="002B2FBC">
      <w:pPr>
        <w:spacing w:after="0" w:line="240" w:lineRule="auto"/>
        <w:ind w:firstLine="360"/>
        <w:rPr>
          <w:rFonts w:cs="Arial"/>
        </w:rPr>
      </w:pPr>
    </w:p>
    <w:p w14:paraId="5B33F00F" w14:textId="77777777" w:rsidR="0034568A" w:rsidRPr="005B47D0" w:rsidRDefault="0034568A" w:rsidP="0036296E">
      <w:pPr>
        <w:pStyle w:val="Odstavecseseznamem"/>
        <w:numPr>
          <w:ilvl w:val="0"/>
          <w:numId w:val="1"/>
        </w:numPr>
        <w:spacing w:line="240" w:lineRule="auto"/>
        <w:rPr>
          <w:rFonts w:cs="Arial"/>
          <w:highlight w:val="yellow"/>
        </w:rPr>
      </w:pPr>
      <w:r w:rsidRPr="005B47D0">
        <w:rPr>
          <w:rFonts w:cs="Arial"/>
          <w:b/>
          <w:highlight w:val="yellow"/>
        </w:rPr>
        <w:t>Název/Firma</w:t>
      </w:r>
      <w:r w:rsidRPr="005B47D0">
        <w:rPr>
          <w:rFonts w:cs="Arial"/>
          <w:highlight w:val="yellow"/>
        </w:rPr>
        <w:t>:</w:t>
      </w:r>
    </w:p>
    <w:p w14:paraId="728D5CEB" w14:textId="77777777" w:rsidR="0034568A" w:rsidRPr="005B47D0" w:rsidRDefault="005B47D0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>
        <w:rPr>
          <w:rFonts w:cs="Arial"/>
          <w:highlight w:val="yellow"/>
        </w:rPr>
        <w:t xml:space="preserve">Se sídlem </w:t>
      </w:r>
    </w:p>
    <w:p w14:paraId="34328BAC" w14:textId="77777777" w:rsidR="0034568A" w:rsidRPr="005B47D0" w:rsidRDefault="005B47D0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>
        <w:rPr>
          <w:rFonts w:cs="Arial"/>
          <w:highlight w:val="yellow"/>
        </w:rPr>
        <w:t>Zapsaná</w:t>
      </w:r>
    </w:p>
    <w:p w14:paraId="12251955" w14:textId="77777777" w:rsidR="0034568A" w:rsidRPr="005B47D0" w:rsidRDefault="0034568A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 w:rsidRPr="005B47D0">
        <w:rPr>
          <w:rFonts w:cs="Arial"/>
          <w:highlight w:val="yellow"/>
        </w:rPr>
        <w:t>IČ:</w:t>
      </w:r>
    </w:p>
    <w:p w14:paraId="34498F2C" w14:textId="77777777" w:rsidR="0034568A" w:rsidRPr="005B47D0" w:rsidRDefault="0034568A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 w:rsidRPr="005B47D0">
        <w:rPr>
          <w:rFonts w:cs="Arial"/>
          <w:highlight w:val="yellow"/>
        </w:rPr>
        <w:t>DIČ:</w:t>
      </w:r>
    </w:p>
    <w:p w14:paraId="050654CB" w14:textId="77777777" w:rsidR="0034568A" w:rsidRPr="005B47D0" w:rsidRDefault="0034568A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 w:rsidRPr="005B47D0">
        <w:rPr>
          <w:rFonts w:cs="Arial"/>
          <w:highlight w:val="yellow"/>
        </w:rPr>
        <w:t>Bankovní spojení:</w:t>
      </w:r>
    </w:p>
    <w:p w14:paraId="5EEFA000" w14:textId="77777777" w:rsidR="0034568A" w:rsidRPr="005B47D0" w:rsidRDefault="0034568A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 w:rsidRPr="005B47D0">
        <w:rPr>
          <w:rFonts w:cs="Arial"/>
          <w:highlight w:val="yellow"/>
        </w:rPr>
        <w:t>Účet číslo:</w:t>
      </w:r>
    </w:p>
    <w:p w14:paraId="29D9F8F1" w14:textId="77777777" w:rsidR="00DC6CC7" w:rsidRDefault="00DC6CC7" w:rsidP="0036296E">
      <w:pPr>
        <w:pStyle w:val="Odstavecseseznamem"/>
        <w:spacing w:line="240" w:lineRule="auto"/>
        <w:ind w:left="360"/>
        <w:rPr>
          <w:rFonts w:cs="Arial"/>
        </w:rPr>
      </w:pPr>
      <w:r w:rsidRPr="00DC6CC7">
        <w:rPr>
          <w:rFonts w:cs="Arial"/>
          <w:highlight w:val="yellow"/>
        </w:rPr>
        <w:t>Jednající ve smluvních věcech:</w:t>
      </w:r>
      <w:r w:rsidRPr="005B47D0">
        <w:rPr>
          <w:rFonts w:cs="Arial"/>
        </w:rPr>
        <w:t xml:space="preserve"> </w:t>
      </w:r>
    </w:p>
    <w:p w14:paraId="2A300055" w14:textId="77777777" w:rsidR="0034568A" w:rsidRPr="005B47D0" w:rsidRDefault="0034568A" w:rsidP="0036296E">
      <w:pPr>
        <w:pStyle w:val="Odstavecseseznamem"/>
        <w:spacing w:line="240" w:lineRule="auto"/>
        <w:ind w:left="360"/>
        <w:rPr>
          <w:rFonts w:cs="Arial"/>
        </w:rPr>
      </w:pPr>
      <w:r w:rsidRPr="005B47D0">
        <w:rPr>
          <w:rFonts w:cs="Arial"/>
        </w:rPr>
        <w:t xml:space="preserve">(dále jen jako </w:t>
      </w:r>
      <w:r w:rsidRPr="005B47D0">
        <w:rPr>
          <w:rFonts w:cs="Arial"/>
          <w:b/>
        </w:rPr>
        <w:t>„prodávající“</w:t>
      </w:r>
      <w:r w:rsidRPr="005B47D0">
        <w:rPr>
          <w:rFonts w:cs="Arial"/>
        </w:rPr>
        <w:t>)</w:t>
      </w:r>
    </w:p>
    <w:p w14:paraId="0E897AFF" w14:textId="77777777" w:rsidR="00D77894" w:rsidRPr="005B47D0" w:rsidRDefault="00D77894" w:rsidP="0036296E">
      <w:pPr>
        <w:pStyle w:val="Odstavecseseznamem"/>
        <w:spacing w:line="240" w:lineRule="auto"/>
        <w:ind w:left="360"/>
        <w:rPr>
          <w:rFonts w:cs="Arial"/>
        </w:rPr>
      </w:pPr>
    </w:p>
    <w:p w14:paraId="4B40525E" w14:textId="77777777" w:rsidR="00D77894" w:rsidRPr="005B47D0" w:rsidRDefault="00D77894" w:rsidP="0036296E">
      <w:pPr>
        <w:pStyle w:val="Odstavecseseznamem"/>
        <w:spacing w:line="240" w:lineRule="auto"/>
        <w:ind w:left="360"/>
        <w:rPr>
          <w:rFonts w:cs="Arial"/>
        </w:rPr>
      </w:pPr>
      <w:r w:rsidRPr="005B47D0">
        <w:rPr>
          <w:rFonts w:cs="Arial"/>
        </w:rPr>
        <w:t>Mezi sebou uzavírají následující kupní smlouvu (dále jen „smlouva“)</w:t>
      </w:r>
    </w:p>
    <w:p w14:paraId="7DA4AFCB" w14:textId="77777777" w:rsidR="00D77894" w:rsidRPr="005B47D0" w:rsidRDefault="00D77894" w:rsidP="0036296E">
      <w:pPr>
        <w:pStyle w:val="Odstavecseseznamem"/>
        <w:spacing w:line="240" w:lineRule="auto"/>
        <w:ind w:left="360"/>
        <w:rPr>
          <w:rFonts w:cs="Arial"/>
        </w:rPr>
      </w:pPr>
    </w:p>
    <w:p w14:paraId="31F9022C" w14:textId="77777777" w:rsidR="00D77894" w:rsidRPr="005B47D0" w:rsidRDefault="00D77894" w:rsidP="0036296E">
      <w:pPr>
        <w:pStyle w:val="Odstavecseseznamem"/>
        <w:spacing w:line="240" w:lineRule="auto"/>
        <w:ind w:left="360"/>
        <w:jc w:val="center"/>
        <w:rPr>
          <w:rFonts w:cs="Arial"/>
          <w:b/>
        </w:rPr>
      </w:pPr>
      <w:r w:rsidRPr="005B47D0">
        <w:rPr>
          <w:rFonts w:cs="Arial"/>
          <w:b/>
        </w:rPr>
        <w:t>I.</w:t>
      </w:r>
    </w:p>
    <w:p w14:paraId="38D51C8A" w14:textId="77777777" w:rsidR="00D77894" w:rsidRPr="005B47D0" w:rsidRDefault="00D77894" w:rsidP="0036296E">
      <w:pPr>
        <w:pStyle w:val="Odstavecseseznamem"/>
        <w:spacing w:line="240" w:lineRule="auto"/>
        <w:ind w:left="360"/>
        <w:jc w:val="center"/>
        <w:rPr>
          <w:rFonts w:cs="Arial"/>
          <w:b/>
        </w:rPr>
      </w:pPr>
      <w:r w:rsidRPr="005B47D0">
        <w:rPr>
          <w:rFonts w:cs="Arial"/>
          <w:b/>
        </w:rPr>
        <w:t>Předmět smlouvy</w:t>
      </w:r>
    </w:p>
    <w:p w14:paraId="62B4A9B4" w14:textId="77777777" w:rsidR="00D77894" w:rsidRPr="005B47D0" w:rsidRDefault="00D77894" w:rsidP="0036296E">
      <w:pPr>
        <w:pStyle w:val="Odstavecseseznamem"/>
        <w:spacing w:line="240" w:lineRule="auto"/>
        <w:ind w:left="360"/>
        <w:rPr>
          <w:rFonts w:cs="Arial"/>
        </w:rPr>
      </w:pPr>
    </w:p>
    <w:p w14:paraId="47DF5AD9" w14:textId="71C8C6B6" w:rsidR="00B4796B" w:rsidRPr="009D5EC6" w:rsidRDefault="00D77894" w:rsidP="00D16E10">
      <w:pPr>
        <w:pStyle w:val="Odstavecseseznamem"/>
        <w:numPr>
          <w:ilvl w:val="0"/>
          <w:numId w:val="3"/>
        </w:numPr>
        <w:tabs>
          <w:tab w:val="left" w:pos="0"/>
        </w:tabs>
        <w:spacing w:line="240" w:lineRule="auto"/>
        <w:ind w:left="284" w:hanging="284"/>
        <w:jc w:val="both"/>
        <w:rPr>
          <w:rFonts w:cs="Arial"/>
          <w:color w:val="000000" w:themeColor="text1"/>
        </w:rPr>
      </w:pPr>
      <w:r w:rsidRPr="007136D7">
        <w:rPr>
          <w:rFonts w:cs="Arial"/>
        </w:rPr>
        <w:t>Předmětem této smlouvy je převod vlastnického práva</w:t>
      </w:r>
      <w:r w:rsidR="008C4B08" w:rsidRPr="007136D7">
        <w:rPr>
          <w:rFonts w:cs="Arial"/>
        </w:rPr>
        <w:t xml:space="preserve"> k</w:t>
      </w:r>
      <w:r w:rsidR="008E4A2C" w:rsidRPr="007136D7">
        <w:rPr>
          <w:rFonts w:cs="Arial"/>
        </w:rPr>
        <w:t xml:space="preserve"> hardwaru </w:t>
      </w:r>
      <w:r w:rsidR="001669EA">
        <w:rPr>
          <w:rFonts w:cs="Arial"/>
        </w:rPr>
        <w:t xml:space="preserve">- </w:t>
      </w:r>
      <w:r w:rsidR="008E4A2C" w:rsidRPr="007136D7">
        <w:t xml:space="preserve">switche Cisco </w:t>
      </w:r>
      <w:r w:rsidR="008E4A2C" w:rsidRPr="007136D7">
        <w:rPr>
          <w:lang w:bidi="hi-IN"/>
        </w:rPr>
        <w:t>Catalyst 9400 Series 7 slot</w:t>
      </w:r>
      <w:r w:rsidR="008E4A2C" w:rsidRPr="007136D7">
        <w:t xml:space="preserve"> v konfiguraci dle technické specifikace v příloze, dodávka nezbytných licencí softwaru a podpora výrobce na 60 měsíců</w:t>
      </w:r>
      <w:r w:rsidR="008B760F" w:rsidRPr="007136D7">
        <w:rPr>
          <w:rFonts w:cs="Arial"/>
        </w:rPr>
        <w:t>.</w:t>
      </w:r>
      <w:r w:rsidR="00463BEC" w:rsidRPr="009D5EC6">
        <w:rPr>
          <w:rFonts w:cs="Arial"/>
          <w:color w:val="000000" w:themeColor="text1"/>
        </w:rPr>
        <w:t xml:space="preserve"> Bližší specifikace je uvedena v příloze č. 1 </w:t>
      </w:r>
      <w:r w:rsidR="000F3AB8">
        <w:rPr>
          <w:rFonts w:cs="Arial"/>
          <w:color w:val="000000" w:themeColor="text1"/>
        </w:rPr>
        <w:t xml:space="preserve">této smlouvy </w:t>
      </w:r>
      <w:r w:rsidRPr="009D5EC6">
        <w:rPr>
          <w:rFonts w:cs="Arial"/>
          <w:color w:val="000000" w:themeColor="text1"/>
        </w:rPr>
        <w:t>(dále jen „předmět“).</w:t>
      </w:r>
      <w:r w:rsidR="00185225">
        <w:rPr>
          <w:rFonts w:cs="Arial"/>
          <w:color w:val="000000" w:themeColor="text1"/>
        </w:rPr>
        <w:t xml:space="preserve"> </w:t>
      </w:r>
    </w:p>
    <w:p w14:paraId="5EAD055B" w14:textId="77777777" w:rsidR="0034568A" w:rsidRPr="005B47D0" w:rsidRDefault="00D77894" w:rsidP="0036296E">
      <w:pPr>
        <w:pStyle w:val="Odstavecseseznamem"/>
        <w:numPr>
          <w:ilvl w:val="0"/>
          <w:numId w:val="3"/>
        </w:numPr>
        <w:tabs>
          <w:tab w:val="left" w:pos="0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>Prodávající touto smlouvou prodá a kupující touto smlouvou kupuje výše uvedenou movitou věc a tuto přijímá do svého vlastnictví za níže sjednanou kupní cenu</w:t>
      </w:r>
      <w:r w:rsidR="00B4796B" w:rsidRPr="005B47D0">
        <w:rPr>
          <w:rFonts w:cs="Arial"/>
        </w:rPr>
        <w:t>. Kupující nabývá vlastnického práva k předmětu, jakmile jej převzal řádně a včas a podepsal listinu prokazující předání a převzetí předmětu koupě (dále jen „protokol“).</w:t>
      </w:r>
      <w:r w:rsidR="00185225" w:rsidRPr="00185225">
        <w:rPr>
          <w:rFonts w:cs="Arial"/>
          <w:color w:val="000000" w:themeColor="text1"/>
        </w:rPr>
        <w:t xml:space="preserve"> </w:t>
      </w:r>
    </w:p>
    <w:p w14:paraId="2EB35BB0" w14:textId="77777777" w:rsidR="00B4796B" w:rsidRPr="005B47D0" w:rsidRDefault="00B4796B" w:rsidP="006C329A">
      <w:pPr>
        <w:tabs>
          <w:tab w:val="left" w:pos="0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II.</w:t>
      </w:r>
    </w:p>
    <w:p w14:paraId="31D12A6F" w14:textId="77777777" w:rsidR="00B4796B" w:rsidRPr="005B47D0" w:rsidRDefault="00B4796B" w:rsidP="006C329A">
      <w:pPr>
        <w:tabs>
          <w:tab w:val="left" w:pos="0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Kupní cena a platební podmínky</w:t>
      </w:r>
    </w:p>
    <w:p w14:paraId="4055A058" w14:textId="37191ABF" w:rsidR="00B4796B" w:rsidRPr="005B47D0" w:rsidRDefault="00B4796B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>Kupní cena za předmět činí</w:t>
      </w:r>
      <w:r w:rsidR="00D0259C" w:rsidRPr="005B47D0">
        <w:rPr>
          <w:rFonts w:cs="Arial"/>
        </w:rPr>
        <w:t xml:space="preserve"> </w:t>
      </w:r>
      <w:r w:rsidR="00D0259C" w:rsidRPr="005B47D0">
        <w:rPr>
          <w:rFonts w:cs="Arial"/>
          <w:highlight w:val="yellow"/>
        </w:rPr>
        <w:t>X</w:t>
      </w:r>
      <w:r w:rsidR="008C4B08">
        <w:rPr>
          <w:rFonts w:cs="Arial"/>
          <w:highlight w:val="yellow"/>
        </w:rPr>
        <w:t>X</w:t>
      </w:r>
      <w:r w:rsidR="00D0259C" w:rsidRPr="005B47D0">
        <w:rPr>
          <w:rFonts w:cs="Arial"/>
          <w:highlight w:val="yellow"/>
        </w:rPr>
        <w:t>X</w:t>
      </w:r>
      <w:r w:rsidR="00750B8B">
        <w:rPr>
          <w:rFonts w:cs="Arial"/>
          <w:highlight w:val="yellow"/>
        </w:rPr>
        <w:t>.</w:t>
      </w:r>
      <w:r w:rsidR="00D0259C" w:rsidRPr="005B47D0">
        <w:rPr>
          <w:rFonts w:cs="Arial"/>
          <w:highlight w:val="yellow"/>
        </w:rPr>
        <w:t>XXX</w:t>
      </w:r>
      <w:r w:rsidRPr="005B47D0">
        <w:rPr>
          <w:rFonts w:cs="Arial"/>
        </w:rPr>
        <w:t xml:space="preserve">,- Kč bez DPH. Kupní cena s DPH činí </w:t>
      </w:r>
      <w:r w:rsidR="008C4B08" w:rsidRPr="005B47D0">
        <w:rPr>
          <w:rFonts w:cs="Arial"/>
          <w:highlight w:val="yellow"/>
        </w:rPr>
        <w:t>X</w:t>
      </w:r>
      <w:r w:rsidR="008C4B08">
        <w:rPr>
          <w:rFonts w:cs="Arial"/>
          <w:highlight w:val="yellow"/>
        </w:rPr>
        <w:t>X</w:t>
      </w:r>
      <w:r w:rsidR="008C4B08" w:rsidRPr="005B47D0">
        <w:rPr>
          <w:rFonts w:cs="Arial"/>
          <w:highlight w:val="yellow"/>
        </w:rPr>
        <w:t>X</w:t>
      </w:r>
      <w:r w:rsidR="008C4B08">
        <w:rPr>
          <w:rFonts w:cs="Arial"/>
          <w:highlight w:val="yellow"/>
        </w:rPr>
        <w:t>.</w:t>
      </w:r>
      <w:r w:rsidR="008C4B08" w:rsidRPr="005B47D0">
        <w:rPr>
          <w:rFonts w:cs="Arial"/>
          <w:highlight w:val="yellow"/>
        </w:rPr>
        <w:t>XXX</w:t>
      </w:r>
      <w:r w:rsidR="008C4B08">
        <w:rPr>
          <w:rFonts w:cs="Arial"/>
        </w:rPr>
        <w:t>,-</w:t>
      </w:r>
      <w:r w:rsidR="00D0259C" w:rsidRPr="005B47D0">
        <w:rPr>
          <w:rFonts w:cs="Arial"/>
        </w:rPr>
        <w:t xml:space="preserve"> </w:t>
      </w:r>
      <w:r w:rsidRPr="005B47D0">
        <w:rPr>
          <w:rFonts w:cs="Arial"/>
        </w:rPr>
        <w:t>Kč. Kupní cena se sjednává jako pevná a neměnná. DPH bude účtována v souladu s účinnými právními předpisy.</w:t>
      </w:r>
    </w:p>
    <w:p w14:paraId="2FF51667" w14:textId="77777777" w:rsidR="0036296E" w:rsidRPr="005B47D0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>Kupní cena dále zahrnuje dopravu do sídla kupujícího</w:t>
      </w:r>
      <w:r w:rsidR="00D0259C" w:rsidRPr="005B47D0">
        <w:rPr>
          <w:rFonts w:cs="Arial"/>
        </w:rPr>
        <w:t xml:space="preserve"> a</w:t>
      </w:r>
      <w:r w:rsidRPr="005B47D0">
        <w:rPr>
          <w:rFonts w:cs="Arial"/>
        </w:rPr>
        <w:t xml:space="preserve"> záruční servis.</w:t>
      </w:r>
    </w:p>
    <w:p w14:paraId="68693D5D" w14:textId="77777777" w:rsidR="0036296E" w:rsidRPr="005B47D0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 xml:space="preserve">Platba kupní ceny dle této smlouvy bude kupujícím provedena na základě faktury vystavené prodávajícím. Faktura bude vystavena po řádném předání. Splatnost se stanovuje na </w:t>
      </w:r>
      <w:r w:rsidR="00D0259C" w:rsidRPr="005B47D0">
        <w:rPr>
          <w:rFonts w:cs="Arial"/>
        </w:rPr>
        <w:t>14</w:t>
      </w:r>
      <w:r w:rsidRPr="005B47D0">
        <w:rPr>
          <w:rFonts w:cs="Arial"/>
        </w:rPr>
        <w:t xml:space="preserve"> kalendářních dnů ode dne doručení faktury kupujícímu.</w:t>
      </w:r>
    </w:p>
    <w:p w14:paraId="286411B9" w14:textId="77777777" w:rsidR="0036296E" w:rsidRPr="005B47D0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 xml:space="preserve">Faktura bude mít náležitosti účetního dokladu podle zákona č. 563/1991 Sb. ve znění pozdějších předpisů, náležitosti dle §435 zákona č. 89/2012 Sb., občanského zákoníku, v platném znění (dále </w:t>
      </w:r>
      <w:r w:rsidRPr="005B47D0">
        <w:rPr>
          <w:rFonts w:cs="Arial"/>
        </w:rPr>
        <w:lastRenderedPageBreak/>
        <w:t>jen jako „NOZ“), a pokud je prodávající plátce DPH náležitosti daňového dokladu podle zákona č. 235/2004 Sb., v platném znění.</w:t>
      </w:r>
    </w:p>
    <w:p w14:paraId="2208A021" w14:textId="77777777" w:rsidR="0036296E" w:rsidRPr="005B47D0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>V případě, že faktura nebude mít odpovídající náležitosti nebo bude obsahovat chybné údaje, je kupující oprávněn ji vrátit ve lhůtě splatnosti zpět prodávajícímu k doplnění, aniž se tak dostane do prodlení se splatností. Lhůta splatnosti počíná běžet znovu od opětovného zaslání náležitě doplněného či opraveného dokladu.</w:t>
      </w:r>
    </w:p>
    <w:p w14:paraId="3FF3D520" w14:textId="77777777" w:rsidR="0036296E" w:rsidRPr="005B47D0" w:rsidRDefault="0036296E" w:rsidP="006C329A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III.</w:t>
      </w:r>
    </w:p>
    <w:p w14:paraId="0843FCE0" w14:textId="77777777" w:rsidR="0036296E" w:rsidRPr="005B47D0" w:rsidRDefault="0036296E" w:rsidP="006C329A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Dodací lhůta</w:t>
      </w:r>
    </w:p>
    <w:p w14:paraId="3348E575" w14:textId="55C6A0A4" w:rsidR="0036296E" w:rsidRPr="005B47D0" w:rsidRDefault="0036296E" w:rsidP="006C329A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Prodávaj</w:t>
      </w:r>
      <w:r w:rsidR="006C329A" w:rsidRPr="005B47D0">
        <w:rPr>
          <w:rFonts w:cs="Arial"/>
        </w:rPr>
        <w:t>í</w:t>
      </w:r>
      <w:r w:rsidRPr="005B47D0">
        <w:rPr>
          <w:rFonts w:cs="Arial"/>
        </w:rPr>
        <w:t>cí se zavazuje dodat</w:t>
      </w:r>
      <w:r w:rsidR="00671819">
        <w:rPr>
          <w:rFonts w:cs="Arial"/>
        </w:rPr>
        <w:t xml:space="preserve"> </w:t>
      </w:r>
      <w:r w:rsidRPr="005B47D0">
        <w:rPr>
          <w:rFonts w:cs="Arial"/>
        </w:rPr>
        <w:t xml:space="preserve">předmět </w:t>
      </w:r>
      <w:r w:rsidR="003F415C">
        <w:rPr>
          <w:rFonts w:cs="Arial"/>
        </w:rPr>
        <w:t xml:space="preserve">smlouvy </w:t>
      </w:r>
      <w:r w:rsidRPr="005B47D0">
        <w:rPr>
          <w:rFonts w:cs="Arial"/>
        </w:rPr>
        <w:t xml:space="preserve">specifikovaný v článku Předmět </w:t>
      </w:r>
      <w:r w:rsidRPr="004E400D">
        <w:rPr>
          <w:rFonts w:cs="Arial"/>
        </w:rPr>
        <w:t xml:space="preserve">smlouvy </w:t>
      </w:r>
      <w:r w:rsidR="00671819" w:rsidRPr="004E400D">
        <w:rPr>
          <w:rFonts w:cs="Arial"/>
        </w:rPr>
        <w:t xml:space="preserve">v termínu do </w:t>
      </w:r>
      <w:r w:rsidR="007136D7" w:rsidRPr="007136D7">
        <w:rPr>
          <w:rFonts w:cstheme="minorHAnsi"/>
        </w:rPr>
        <w:t>90 dnů ode dne uzavření smlouvy.</w:t>
      </w:r>
    </w:p>
    <w:p w14:paraId="0E97894E" w14:textId="77777777" w:rsidR="006C329A" w:rsidRPr="005B47D0" w:rsidRDefault="006C329A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IV.</w:t>
      </w:r>
    </w:p>
    <w:p w14:paraId="667B39F8" w14:textId="77777777" w:rsidR="006C329A" w:rsidRPr="005B47D0" w:rsidRDefault="006C329A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Místo dodání, způsob předání</w:t>
      </w:r>
    </w:p>
    <w:p w14:paraId="206BC79F" w14:textId="555B55E4" w:rsidR="006C329A" w:rsidRPr="005B47D0" w:rsidRDefault="006C329A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Prodávající je povinen dodat předmět na adresu</w:t>
      </w:r>
      <w:r w:rsidR="00D0259C" w:rsidRPr="005B47D0">
        <w:rPr>
          <w:rFonts w:cs="Arial"/>
        </w:rPr>
        <w:t xml:space="preserve"> </w:t>
      </w:r>
      <w:r w:rsidR="00923B77">
        <w:rPr>
          <w:rFonts w:cs="Arial"/>
        </w:rPr>
        <w:t>Skálova 466, Turnov</w:t>
      </w:r>
      <w:r w:rsidR="00D0259C" w:rsidRPr="005B47D0">
        <w:rPr>
          <w:rFonts w:cs="Arial"/>
        </w:rPr>
        <w:t>.</w:t>
      </w:r>
    </w:p>
    <w:p w14:paraId="61D5E125" w14:textId="77777777" w:rsidR="001C0CD7" w:rsidRPr="005B47D0" w:rsidRDefault="001C0CD7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S předáním předmětu je prodávající povinen </w:t>
      </w:r>
      <w:r w:rsidR="004A71AE">
        <w:rPr>
          <w:rFonts w:cs="Arial"/>
        </w:rPr>
        <w:t xml:space="preserve">předat </w:t>
      </w:r>
      <w:r w:rsidRPr="005B47D0">
        <w:rPr>
          <w:rFonts w:cs="Arial"/>
        </w:rPr>
        <w:t>kupujícímu dokumenty a podklady nezbytné pro užívání.</w:t>
      </w:r>
    </w:p>
    <w:p w14:paraId="652B4618" w14:textId="77777777" w:rsidR="001C0CD7" w:rsidRPr="005B47D0" w:rsidRDefault="0036224D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Převzetí předmětu potvrdí prodávajícímu za kupujícího Osoba odpovědná </w:t>
      </w:r>
      <w:r w:rsidR="00ED52F8">
        <w:rPr>
          <w:rFonts w:cs="Arial"/>
        </w:rPr>
        <w:t>ve věcech technických</w:t>
      </w:r>
      <w:r w:rsidRPr="005B47D0">
        <w:rPr>
          <w:rFonts w:cs="Arial"/>
        </w:rPr>
        <w:t xml:space="preserve"> (případně osoba touto osobou </w:t>
      </w:r>
      <w:r w:rsidR="008C4B08">
        <w:rPr>
          <w:rFonts w:cs="Arial"/>
        </w:rPr>
        <w:t>pověř</w:t>
      </w:r>
      <w:r w:rsidRPr="005B47D0">
        <w:rPr>
          <w:rFonts w:cs="Arial"/>
        </w:rPr>
        <w:t>ená) v protokolu.</w:t>
      </w:r>
    </w:p>
    <w:p w14:paraId="482CF803" w14:textId="77777777" w:rsidR="0036224D" w:rsidRPr="005B47D0" w:rsidRDefault="0036224D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Nebezpečí škody na předmětu přechází na kupujícího okamžikem podpisu protokolu (tj. převzetím).</w:t>
      </w:r>
    </w:p>
    <w:p w14:paraId="00335725" w14:textId="77777777" w:rsidR="0036224D" w:rsidRPr="005B47D0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V.</w:t>
      </w:r>
    </w:p>
    <w:p w14:paraId="4CA2E7EE" w14:textId="77777777" w:rsidR="0036224D" w:rsidRPr="004E400D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4E400D">
        <w:rPr>
          <w:rFonts w:cs="Arial"/>
          <w:b/>
        </w:rPr>
        <w:t>Součinnost kupujícího</w:t>
      </w:r>
    </w:p>
    <w:p w14:paraId="20A865DD" w14:textId="77777777" w:rsidR="006129EA" w:rsidRPr="004E400D" w:rsidRDefault="0036224D" w:rsidP="00E36C4C">
      <w:pPr>
        <w:pStyle w:val="Odstavecseseznamem"/>
        <w:numPr>
          <w:ilvl w:val="0"/>
          <w:numId w:val="29"/>
        </w:numPr>
        <w:tabs>
          <w:tab w:val="left" w:pos="0"/>
          <w:tab w:val="left" w:pos="426"/>
        </w:tabs>
        <w:spacing w:line="240" w:lineRule="auto"/>
        <w:jc w:val="both"/>
        <w:rPr>
          <w:rFonts w:cs="Arial"/>
        </w:rPr>
      </w:pPr>
      <w:r w:rsidRPr="004E400D">
        <w:rPr>
          <w:rFonts w:cs="Arial"/>
        </w:rPr>
        <w:t>Kupující se zavazuje poskytnout prodávajícímu následující součinnost:</w:t>
      </w:r>
      <w:r w:rsidR="008C4B08">
        <w:rPr>
          <w:rFonts w:cs="Arial"/>
        </w:rPr>
        <w:t xml:space="preserve"> nespecifikováno</w:t>
      </w:r>
      <w:r w:rsidR="005847E4" w:rsidRPr="004E400D">
        <w:rPr>
          <w:rFonts w:cs="Arial"/>
        </w:rPr>
        <w:t>.</w:t>
      </w:r>
    </w:p>
    <w:p w14:paraId="77588D53" w14:textId="77777777" w:rsidR="0036224D" w:rsidRPr="005B47D0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VI.</w:t>
      </w:r>
    </w:p>
    <w:p w14:paraId="1B329248" w14:textId="77777777" w:rsidR="0036224D" w:rsidRPr="005B47D0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Zajištění závazků prodávajícího a kupujícího</w:t>
      </w:r>
    </w:p>
    <w:p w14:paraId="7E2281A2" w14:textId="77777777" w:rsidR="0036224D" w:rsidRPr="005B47D0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V případě prodlení kupujícího se zaplacením kupní ceny je kupující povinen zaplatit prodávajícímu smluvní pokut</w:t>
      </w:r>
      <w:r w:rsidR="00FB3A6C">
        <w:rPr>
          <w:rFonts w:cs="Arial"/>
        </w:rPr>
        <w:t>u</w:t>
      </w:r>
      <w:r w:rsidRPr="005B47D0">
        <w:rPr>
          <w:rFonts w:cs="Arial"/>
        </w:rPr>
        <w:t xml:space="preserve"> ve výši 0,05% z kupní ceny (bez DPH) za předmět za každý započatý den prodlení.</w:t>
      </w:r>
    </w:p>
    <w:p w14:paraId="0CD42DDF" w14:textId="77777777" w:rsidR="0036224D" w:rsidRPr="005B47D0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V případě prodlení prodávajícího s předáním předmětu či jeho části je prodávající povinen zaplatit kupujícímu smluvní pokutu ve výši </w:t>
      </w:r>
      <w:r w:rsidR="00463BEC" w:rsidRPr="005B47D0">
        <w:rPr>
          <w:rFonts w:cs="Arial"/>
        </w:rPr>
        <w:t>1</w:t>
      </w:r>
      <w:r w:rsidRPr="005B47D0">
        <w:rPr>
          <w:rFonts w:cs="Arial"/>
        </w:rPr>
        <w:t>% z kupní ceny (bez DPH) za předmět za každý započatý den prodlení.</w:t>
      </w:r>
    </w:p>
    <w:p w14:paraId="42F08DF7" w14:textId="77777777" w:rsidR="0036224D" w:rsidRPr="005B47D0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V případě, že prodávající nedodrží lhůtu pro odstranění vad stanovenou v této smlouvě, je povinen zaplatit kupujícímu smluvní pokutu ve výši 0,05% z kupní ceny (bez DPH) za předmět za každý započatý den prodlení s odstraněním vady.</w:t>
      </w:r>
    </w:p>
    <w:p w14:paraId="21832149" w14:textId="77777777" w:rsidR="0036224D" w:rsidRPr="005B47D0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Kupující je oprávněn, v případě neuhrazení vyúčtované smluvní pokuty prodávajícím, smluvní pokuty započíst vůči jakémukoli finančnímu plnění poskytovanému prodávajícímu a to i v rámci jiného obchodního případu.</w:t>
      </w:r>
    </w:p>
    <w:p w14:paraId="3EA0BE38" w14:textId="77777777" w:rsidR="0036224D" w:rsidRPr="005B47D0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Oprávněnost nároku na smluvní pokutu není podmíněna žádnými formálními úkony ze strany kupujícího</w:t>
      </w:r>
      <w:r w:rsidR="00B9064B" w:rsidRPr="005B47D0">
        <w:rPr>
          <w:rFonts w:cs="Arial"/>
        </w:rPr>
        <w:t>. Zaplacení smluvní pokuty prodávajícím nezbavuje prodávajícího závazku splnit povinnosti dané mu touto smlouvou.</w:t>
      </w:r>
    </w:p>
    <w:p w14:paraId="37AE35DF" w14:textId="77777777" w:rsidR="00682C56" w:rsidRPr="005B47D0" w:rsidRDefault="00B9064B" w:rsidP="008205FB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Platba smluvní pokuty bude povinnou smluvní stranou provedena na základě penalizační faktury vystavené oprávněnou smluvní stranou. Splatnost se stanovuje na </w:t>
      </w:r>
      <w:r w:rsidR="00463BEC" w:rsidRPr="005B47D0">
        <w:rPr>
          <w:rFonts w:cs="Arial"/>
        </w:rPr>
        <w:t>14</w:t>
      </w:r>
      <w:r w:rsidRPr="005B47D0">
        <w:rPr>
          <w:rFonts w:cs="Arial"/>
        </w:rPr>
        <w:t xml:space="preserve"> kalendářních dnů ode dne doručení faktury povinné smluvní straně.</w:t>
      </w:r>
    </w:p>
    <w:p w14:paraId="31558973" w14:textId="77777777" w:rsidR="00B9064B" w:rsidRPr="005B47D0" w:rsidRDefault="00B9064B" w:rsidP="00B9064B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VII.</w:t>
      </w:r>
    </w:p>
    <w:p w14:paraId="3986C7A9" w14:textId="77777777" w:rsidR="00DE64E4" w:rsidRDefault="00B9064B" w:rsidP="00DE64E4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lastRenderedPageBreak/>
        <w:t xml:space="preserve">Záruka </w:t>
      </w:r>
      <w:r w:rsidR="00702E3E">
        <w:rPr>
          <w:rFonts w:cs="Arial"/>
          <w:b/>
        </w:rPr>
        <w:t>a servisní podpora</w:t>
      </w:r>
    </w:p>
    <w:p w14:paraId="02A671CB" w14:textId="77777777" w:rsidR="00B9064B" w:rsidRPr="004E400D" w:rsidRDefault="00B9064B" w:rsidP="00DE64E4">
      <w:pPr>
        <w:tabs>
          <w:tab w:val="left" w:pos="0"/>
          <w:tab w:val="left" w:pos="709"/>
        </w:tabs>
        <w:spacing w:line="240" w:lineRule="auto"/>
        <w:jc w:val="both"/>
        <w:rPr>
          <w:rFonts w:cs="Arial"/>
          <w:color w:val="000000" w:themeColor="text1"/>
        </w:rPr>
      </w:pPr>
      <w:r w:rsidRPr="004E400D">
        <w:rPr>
          <w:rFonts w:cs="Arial"/>
          <w:color w:val="000000" w:themeColor="text1"/>
        </w:rPr>
        <w:t>Předmět má vady, jestliže neodpovídá předmětu smlouvy, účelu jeho využití, případně pokud nemá vlastnosti výslovně stanovené touto smlouvou, technickými normami nebo výzvou/zadávací dokumentací k veřejné zakázce.</w:t>
      </w:r>
    </w:p>
    <w:p w14:paraId="46683297" w14:textId="77777777" w:rsidR="00C74096" w:rsidRDefault="00C74096" w:rsidP="00C74096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Prodávající poskytuje kupujícímu záruku v rozsahu uvedeném v příloze č. 1 ode dne podpisu protokolu dle článku Místo dodání, způsob předání</w:t>
      </w:r>
      <w:r>
        <w:rPr>
          <w:rFonts w:cs="Arial"/>
          <w:color w:val="000000" w:themeColor="text1"/>
        </w:rPr>
        <w:t>.</w:t>
      </w:r>
      <w:r w:rsidRPr="00C74096">
        <w:rPr>
          <w:rFonts w:cs="Arial"/>
          <w:color w:val="000000" w:themeColor="text1"/>
        </w:rPr>
        <w:t xml:space="preserve"> Prodávající odpovídá za vady, které se na předmětu vyskytnou v záruční době. Záruční doba neběží po dobu, po kterou kupující nemohl předmět užívat pro vady, za které prodávající odpovídá.</w:t>
      </w:r>
    </w:p>
    <w:p w14:paraId="2669AD64" w14:textId="77777777" w:rsidR="00C74096" w:rsidRDefault="00C74096" w:rsidP="00C74096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Kupující je povinen zjištěnou vadu písemně oznámit prodávajícímu (uplatnění reklamace) bez zbytečného odkladu. Prodávající je povinen v průběhu záruční doby na základě oznámení vady kupujícím bezplatně odstranit reklamované vady ve lhůtě a způsobem stanoveným níže.</w:t>
      </w:r>
    </w:p>
    <w:p w14:paraId="3F2D9A56" w14:textId="77777777" w:rsidR="00C74096" w:rsidRDefault="00C74096" w:rsidP="00C74096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Kupující bude dle své úvahy uplatňovat svá případná práva z vad předmětu níže uvedeným způsobem:</w:t>
      </w:r>
    </w:p>
    <w:p w14:paraId="5386BA3F" w14:textId="77777777" w:rsidR="00C74096" w:rsidRPr="00C74096" w:rsidRDefault="00C74096" w:rsidP="00C74096">
      <w:pPr>
        <w:pStyle w:val="Odstavecseseznamem"/>
        <w:numPr>
          <w:ilvl w:val="0"/>
          <w:numId w:val="32"/>
        </w:num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v případě neopravitelných vad má kupující právo požadovat odstranění vady bezplatným</w:t>
      </w:r>
      <w:r>
        <w:rPr>
          <w:rFonts w:cs="Arial"/>
          <w:color w:val="000000" w:themeColor="text1"/>
        </w:rPr>
        <w:t xml:space="preserve"> </w:t>
      </w:r>
      <w:r w:rsidRPr="00C74096">
        <w:rPr>
          <w:rFonts w:cs="Arial"/>
          <w:color w:val="000000" w:themeColor="text1"/>
        </w:rPr>
        <w:t>dodáním nového předmětu nebo jeho části a případnou demontáž vadného zař</w:t>
      </w:r>
      <w:r w:rsidR="00EE7E9B">
        <w:rPr>
          <w:rFonts w:cs="Arial"/>
          <w:color w:val="000000" w:themeColor="text1"/>
        </w:rPr>
        <w:t>ízení, jeho odvoz a ekologickou</w:t>
      </w:r>
      <w:r w:rsidRPr="00C74096">
        <w:rPr>
          <w:rFonts w:cs="Arial"/>
          <w:color w:val="000000" w:themeColor="text1"/>
        </w:rPr>
        <w:t xml:space="preserve"> likvidaci a instalaci bezvadné náhrady nebo odstoupit od smlouvy,</w:t>
      </w:r>
    </w:p>
    <w:p w14:paraId="72A3D707" w14:textId="77777777" w:rsidR="00C74096" w:rsidRPr="00C74096" w:rsidRDefault="00C74096" w:rsidP="00C74096">
      <w:pPr>
        <w:pStyle w:val="Odstavecseseznamem"/>
        <w:numPr>
          <w:ilvl w:val="0"/>
          <w:numId w:val="32"/>
        </w:num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v případě opravitelných vad má kupující právo požadovat odstranění vady bezplatnou opravou</w:t>
      </w:r>
      <w:r>
        <w:rPr>
          <w:rFonts w:cs="Arial"/>
          <w:color w:val="000000" w:themeColor="text1"/>
        </w:rPr>
        <w:t xml:space="preserve"> </w:t>
      </w:r>
      <w:r w:rsidRPr="00C74096">
        <w:rPr>
          <w:rFonts w:cs="Arial"/>
          <w:color w:val="000000" w:themeColor="text1"/>
        </w:rPr>
        <w:t>předmětu nebo jeho části, v případě prodlení prodávajícího s odstraněním vady má kupující právo odstoupit od smlouvy;</w:t>
      </w:r>
    </w:p>
    <w:p w14:paraId="127D2713" w14:textId="77777777" w:rsidR="00C74096" w:rsidRPr="00C74096" w:rsidRDefault="00C74096" w:rsidP="00C74096">
      <w:pPr>
        <w:pStyle w:val="Odstavecseseznamem"/>
        <w:numPr>
          <w:ilvl w:val="0"/>
          <w:numId w:val="32"/>
        </w:num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prodlení nastává dnem, který následuje po dni, kterým vypršela lhůta pro odstranění vad podle tohoto článku.</w:t>
      </w:r>
    </w:p>
    <w:p w14:paraId="6650BD5F" w14:textId="77777777" w:rsidR="00C74096" w:rsidRDefault="00C74096" w:rsidP="00C74096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Lhůta pro odstranění vad v záruční době nesmí být delší než 30 kalendářních dnů.</w:t>
      </w:r>
    </w:p>
    <w:p w14:paraId="427DCB90" w14:textId="77777777" w:rsidR="00702E3E" w:rsidRPr="00C74096" w:rsidRDefault="00C74096" w:rsidP="00C74096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Odstranění vady nemá vliv na nárok kupujícího na smluvní pokutu a náhradu škody.</w:t>
      </w:r>
    </w:p>
    <w:p w14:paraId="6EF73C49" w14:textId="77777777" w:rsidR="00C74096" w:rsidRPr="00702E3E" w:rsidRDefault="00C74096" w:rsidP="00C74096">
      <w:pPr>
        <w:pStyle w:val="Odstavecseseznamem"/>
        <w:tabs>
          <w:tab w:val="left" w:pos="0"/>
          <w:tab w:val="left" w:pos="426"/>
          <w:tab w:val="left" w:pos="709"/>
        </w:tabs>
        <w:spacing w:after="0" w:line="240" w:lineRule="auto"/>
        <w:ind w:left="426"/>
        <w:jc w:val="both"/>
        <w:rPr>
          <w:rFonts w:cs="Arial"/>
          <w:color w:val="808080" w:themeColor="background1" w:themeShade="80"/>
        </w:rPr>
      </w:pPr>
    </w:p>
    <w:p w14:paraId="1DD0A8B8" w14:textId="77777777" w:rsidR="005A16E8" w:rsidRPr="005B47D0" w:rsidRDefault="005A16E8" w:rsidP="00B63F96">
      <w:pPr>
        <w:tabs>
          <w:tab w:val="left" w:pos="0"/>
          <w:tab w:val="left" w:pos="709"/>
        </w:tabs>
        <w:spacing w:after="0"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VIII.</w:t>
      </w:r>
    </w:p>
    <w:p w14:paraId="68E55968" w14:textId="77777777" w:rsidR="005A16E8" w:rsidRPr="005B47D0" w:rsidRDefault="005A16E8" w:rsidP="00724CA2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Odpovědnost za škodu</w:t>
      </w:r>
    </w:p>
    <w:p w14:paraId="41A3DE52" w14:textId="77777777" w:rsidR="005A16E8" w:rsidRPr="005B47D0" w:rsidRDefault="005A16E8" w:rsidP="00B63F96">
      <w:pPr>
        <w:pStyle w:val="Odstavecseseznamem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jc w:val="both"/>
        <w:rPr>
          <w:rFonts w:cs="Arial"/>
        </w:rPr>
      </w:pPr>
      <w:r w:rsidRPr="005B47D0">
        <w:rPr>
          <w:rFonts w:cs="Arial"/>
        </w:rPr>
        <w:t>Prodávající odpovídá za škodu způsobenou porušením povinnosti vyplývající z této smlouvy, a to bez ohledu na zavinění s možností liberace dle § 2913 odst. 2 NOZ. Za škodu se považuje též újma, která kupujícímu vznikla tím, že musel vynaložit náklady v důsledku porušení povinnosti prodávajícího.</w:t>
      </w:r>
    </w:p>
    <w:p w14:paraId="4694CD13" w14:textId="77777777" w:rsidR="00682C56" w:rsidRPr="005B47D0" w:rsidRDefault="005A16E8" w:rsidP="00B63F96">
      <w:pPr>
        <w:pStyle w:val="Odstavecseseznamem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jc w:val="both"/>
        <w:rPr>
          <w:rFonts w:cs="Arial"/>
        </w:rPr>
      </w:pPr>
      <w:r w:rsidRPr="005B47D0">
        <w:rPr>
          <w:rFonts w:cs="Arial"/>
        </w:rPr>
        <w:t>Kupující nepřipouští jakoukoliv limitaci prokázaných škod, které vzniknou v souvislosti s plněním z této smlouvy ani žádné omezení sankcí nebo smluvních pokut stanovených touto smlouvou.</w:t>
      </w:r>
    </w:p>
    <w:p w14:paraId="558C3136" w14:textId="77777777" w:rsidR="00724CA2" w:rsidRDefault="00724CA2" w:rsidP="00B63F96">
      <w:pPr>
        <w:tabs>
          <w:tab w:val="left" w:pos="0"/>
          <w:tab w:val="left" w:pos="709"/>
        </w:tabs>
        <w:spacing w:after="0" w:line="240" w:lineRule="auto"/>
        <w:jc w:val="center"/>
        <w:rPr>
          <w:rFonts w:cs="Arial"/>
          <w:b/>
        </w:rPr>
      </w:pPr>
    </w:p>
    <w:p w14:paraId="7E48C040" w14:textId="77777777" w:rsidR="005A16E8" w:rsidRPr="005B47D0" w:rsidRDefault="005A16E8" w:rsidP="00724CA2">
      <w:pPr>
        <w:tabs>
          <w:tab w:val="left" w:pos="0"/>
          <w:tab w:val="left" w:pos="709"/>
        </w:tabs>
        <w:spacing w:after="240"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IX.</w:t>
      </w:r>
    </w:p>
    <w:p w14:paraId="48045D12" w14:textId="77777777" w:rsidR="005A16E8" w:rsidRPr="005B47D0" w:rsidRDefault="005A16E8" w:rsidP="00724CA2">
      <w:pPr>
        <w:tabs>
          <w:tab w:val="left" w:pos="0"/>
          <w:tab w:val="left" w:pos="709"/>
        </w:tabs>
        <w:spacing w:after="240"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Odstoupení od smlouvy; Výpověď</w:t>
      </w:r>
    </w:p>
    <w:p w14:paraId="6A736543" w14:textId="77777777" w:rsidR="0036224D" w:rsidRPr="005B47D0" w:rsidRDefault="005A16E8" w:rsidP="00B63F96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jc w:val="both"/>
        <w:rPr>
          <w:rFonts w:cs="Arial"/>
        </w:rPr>
      </w:pPr>
      <w:r w:rsidRPr="005B47D0">
        <w:rPr>
          <w:rFonts w:cs="Arial"/>
        </w:rPr>
        <w:t>Kterákoliv ze smluvních stran je oprávněna od této smlouvy odstoupit, poruší-li druhá smluvní strana podstatným způsobem své smluvní povinnosti. Za podstatné porušení smlouvy se zejména považuje:</w:t>
      </w:r>
    </w:p>
    <w:p w14:paraId="6800A07E" w14:textId="77777777" w:rsidR="0025009F" w:rsidRPr="005B47D0" w:rsidRDefault="0025009F" w:rsidP="00B63F96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after="0"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prodlení prodávajícího s dodáním předmětu po dobu delší než </w:t>
      </w:r>
      <w:r w:rsidR="004A71AE">
        <w:rPr>
          <w:rFonts w:cs="Arial"/>
        </w:rPr>
        <w:t>je lhůta uvedená v článku Dodací lhůta</w:t>
      </w:r>
      <w:r w:rsidRPr="005B47D0">
        <w:rPr>
          <w:rFonts w:cs="Arial"/>
        </w:rPr>
        <w:t>,</w:t>
      </w:r>
    </w:p>
    <w:p w14:paraId="7B19E3DA" w14:textId="77777777" w:rsidR="0025009F" w:rsidRPr="005B47D0" w:rsidRDefault="0025009F" w:rsidP="0025009F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zjištění, že technické parametry předmětu neodpovídají požadavkům stanoveným smlouvou, technickými normami nebo výzvou/zadávací dokumentací k veřejné zakázce,</w:t>
      </w:r>
    </w:p>
    <w:p w14:paraId="2B47197C" w14:textId="77777777" w:rsidR="0025009F" w:rsidRPr="005B47D0" w:rsidRDefault="0025009F" w:rsidP="0025009F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neodstranění </w:t>
      </w:r>
      <w:r w:rsidR="004A71AE">
        <w:rPr>
          <w:rFonts w:cs="Arial"/>
        </w:rPr>
        <w:t>vady dle článku Záruka</w:t>
      </w:r>
      <w:r w:rsidRPr="005B47D0">
        <w:rPr>
          <w:rFonts w:cs="Arial"/>
        </w:rPr>
        <w:t>,</w:t>
      </w:r>
    </w:p>
    <w:p w14:paraId="61A9641D" w14:textId="77777777" w:rsidR="0025009F" w:rsidRPr="005B47D0" w:rsidRDefault="0025009F" w:rsidP="0025009F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prodlení kupujícího se zaplacením kupní ceny po dobu delší než 21 </w:t>
      </w:r>
      <w:r w:rsidR="002B2FBC" w:rsidRPr="005B47D0">
        <w:rPr>
          <w:rFonts w:cs="Arial"/>
        </w:rPr>
        <w:t xml:space="preserve">kalendářních </w:t>
      </w:r>
      <w:r w:rsidRPr="005B47D0">
        <w:rPr>
          <w:rFonts w:cs="Arial"/>
        </w:rPr>
        <w:t>dnů.</w:t>
      </w:r>
    </w:p>
    <w:p w14:paraId="3A72A3F9" w14:textId="77777777" w:rsidR="005A16E8" w:rsidRPr="005B47D0" w:rsidRDefault="005A16E8" w:rsidP="0036224D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Stanoví-li kupující prodávajícímu pro splnění jeho závazku náhradní (dodatečnou) lhůtu, vzniká kupujícímu právo odstoupit od smlouvy až po marném uplynutí této lhůty, to neplatí, jestliže prodávající v průběhu této lhůty prohlásí, že svůj závazek nesplní. V takovém případě může kupující </w:t>
      </w:r>
      <w:r w:rsidRPr="005B47D0">
        <w:rPr>
          <w:rFonts w:cs="Arial"/>
        </w:rPr>
        <w:lastRenderedPageBreak/>
        <w:t>odstoupit od smlouvy i před uplynutím lhůty dodatečného plnění, poté, co prohlášení prodávajícího obdržel.</w:t>
      </w:r>
    </w:p>
    <w:p w14:paraId="5B094F76" w14:textId="77777777" w:rsidR="005A16E8" w:rsidRPr="005B47D0" w:rsidRDefault="005A16E8" w:rsidP="0036224D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Smlouva zaniká dnem doručení oznámení o odstoupení od smlouvy druhé smluvní straně.</w:t>
      </w:r>
    </w:p>
    <w:p w14:paraId="0F3A5110" w14:textId="77777777" w:rsidR="005A16E8" w:rsidRPr="005B47D0" w:rsidRDefault="005A16E8" w:rsidP="0036224D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Odstoupení od smlouvy se nedotýká nároku na náhradu škody vzniklé porušením smlouvy a nároku na zaplacení smluvní pokuty.</w:t>
      </w:r>
    </w:p>
    <w:p w14:paraId="4B449B91" w14:textId="77777777" w:rsidR="0025009F" w:rsidRPr="005B47D0" w:rsidRDefault="0025009F" w:rsidP="0025009F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X.</w:t>
      </w:r>
    </w:p>
    <w:p w14:paraId="2210F1D4" w14:textId="77777777" w:rsidR="0025009F" w:rsidRPr="005B47D0" w:rsidRDefault="0025009F" w:rsidP="0025009F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Závěrečná ujednání</w:t>
      </w:r>
    </w:p>
    <w:p w14:paraId="7F1A17EC" w14:textId="77777777" w:rsidR="0025009F" w:rsidRPr="005B47D0" w:rsidRDefault="0025009F" w:rsidP="0025009F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Smlouva odráží svobodný a vážný projev vůle smluvních stran. Smluvní strany prohlašují, že veškerá práva a povinnosti neupravená touto smlouvou, jakož i práva a povinnosti z této smlouvy vyplývající, budou řešit podle ustanovení NOZ.</w:t>
      </w:r>
    </w:p>
    <w:p w14:paraId="2714A4A2" w14:textId="77777777" w:rsidR="0025009F" w:rsidRPr="005B47D0" w:rsidRDefault="0025009F" w:rsidP="0025009F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Prodávající i jeho případný subdodavatel jsou povinni spolupůsobit při výkonu finanční kontroly dle § 2 písm. e) zákona č. 320/2001 Sb., o finanční kontrole ve veřejné správě.</w:t>
      </w:r>
    </w:p>
    <w:p w14:paraId="5DFCA3E8" w14:textId="77777777" w:rsidR="00A5599C" w:rsidRPr="005B47D0" w:rsidRDefault="00F85FA0" w:rsidP="00A5599C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Prodávající je povinen umožnit všem subjektům oprávněným k výkonu kontroly </w:t>
      </w:r>
      <w:r w:rsidR="00A5599C" w:rsidRPr="005B47D0">
        <w:rPr>
          <w:rFonts w:cs="Arial"/>
        </w:rPr>
        <w:t>Projektu</w:t>
      </w:r>
      <w:r w:rsidR="00097B30">
        <w:rPr>
          <w:rFonts w:cs="Arial"/>
        </w:rPr>
        <w:t>, z jehož prostředků je dodávka</w:t>
      </w:r>
      <w:r w:rsidRPr="005B47D0">
        <w:rPr>
          <w:rFonts w:cs="Arial"/>
        </w:rPr>
        <w:t xml:space="preserve"> hrazena, provést kontrolu dokladů souvisejících s plněním zakázky, a to po dobu danou právními předpisy ČR k jejich archivaci (zákon</w:t>
      </w:r>
      <w:r w:rsidR="00A5599C" w:rsidRPr="005B47D0">
        <w:rPr>
          <w:rFonts w:cs="Arial"/>
        </w:rPr>
        <w:t xml:space="preserve"> č. 563/1991 Sb., o účetnictví, a zákon č. 235/2004 Sb., o dani z přidané hodnoty).</w:t>
      </w:r>
    </w:p>
    <w:p w14:paraId="4028D8F1" w14:textId="77777777" w:rsidR="00A5599C" w:rsidRPr="005B47D0" w:rsidRDefault="0025009F" w:rsidP="00A5599C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Práva a povinnosti vyplývající z této smlouvy přecházejí na případné právní nástupce smluvních stran. Převádět práva a povinnosti z této smlouvy lze jen po pís</w:t>
      </w:r>
      <w:r w:rsidR="00F85FA0" w:rsidRPr="005B47D0">
        <w:rPr>
          <w:rFonts w:cs="Arial"/>
        </w:rPr>
        <w:t>e</w:t>
      </w:r>
      <w:r w:rsidRPr="005B47D0">
        <w:rPr>
          <w:rFonts w:cs="Arial"/>
        </w:rPr>
        <w:t>mném souhlasu druhé smluvní strany.</w:t>
      </w:r>
    </w:p>
    <w:p w14:paraId="7A177156" w14:textId="77777777" w:rsidR="00F85FA0" w:rsidRPr="005B47D0" w:rsidRDefault="008C4B08" w:rsidP="008C4B08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>
        <w:rPr>
          <w:rFonts w:cs="Arial"/>
        </w:rPr>
        <w:t>Tato s</w:t>
      </w:r>
      <w:r w:rsidRPr="008C4B08">
        <w:rPr>
          <w:rFonts w:cs="Arial"/>
        </w:rPr>
        <w:t xml:space="preserve">mlouva je vyhotovena a podepsána v elektronické formě. </w:t>
      </w:r>
    </w:p>
    <w:p w14:paraId="7063DDA3" w14:textId="77777777" w:rsidR="00F85FA0" w:rsidRPr="005B47D0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Změny a doplňky této smlouvy je možné provádět pouze formou písemných oboustranně odsouhlasených dodatků, podepsaných oběma smluvními stranami.</w:t>
      </w:r>
    </w:p>
    <w:p w14:paraId="423A978C" w14:textId="77777777" w:rsidR="00F85FA0" w:rsidRPr="005B47D0" w:rsidRDefault="004C7EAD" w:rsidP="004C7EAD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>
        <w:rPr>
          <w:rFonts w:cs="Arial"/>
        </w:rPr>
        <w:t>S</w:t>
      </w:r>
      <w:r w:rsidRPr="004C7EAD">
        <w:rPr>
          <w:rFonts w:cs="Arial"/>
        </w:rPr>
        <w:t>mlouva nabývá platnosti dnem podpisu poslední ze smluvních stran a účinnosti dnem zveřejnění v registru smluv dle zákona 340/2015 Sb. Zveřejnění v tomto registru zajistí město Turnov.</w:t>
      </w:r>
    </w:p>
    <w:p w14:paraId="5CD4ADE6" w14:textId="77777777" w:rsidR="00F85FA0" w:rsidRPr="005B47D0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V případě, že dojde k situaci, kdy některá ustanovení této smlouvy se stanou neplatnými, neúčinnými anebo nerealizovatelnými, nebude tímto ovlivněna platnost, účinnost nebo realizovatelnost ostatních ustanovení této smlouvy.</w:t>
      </w:r>
    </w:p>
    <w:p w14:paraId="66203ACD" w14:textId="77777777" w:rsidR="00F85FA0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Veškeré spory mezi smluvními stranami vyplývající nebo související s ustanoveními této smlouvy budou řešeny vždy nejprve smírně vzájemnou dohodou. Nebude-li smírného řešení dosaženo v přiměřené době, bude mít kterákoliv ze smluvních stran právo předložit spornou záležitost k rozhodnutí místně příslušnému soudu. V souladu s § 89 a) zák. č. 99/1963 Sb., občanský soudní řád, ve znění pozdějších předpisů, se za místně příslušný soud k projednávání sporů z této smlouvy prohlašuje obecný soud kupujícího.</w:t>
      </w:r>
    </w:p>
    <w:p w14:paraId="7D7CBA0A" w14:textId="77777777" w:rsidR="000F3AB8" w:rsidRPr="005B47D0" w:rsidRDefault="000F3AB8" w:rsidP="000F3AB8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Nedílnou součástí této smlouvy je příloha č. 1 </w:t>
      </w:r>
      <w:r w:rsidRPr="000F3AB8">
        <w:rPr>
          <w:rFonts w:cs="Arial"/>
        </w:rPr>
        <w:t>Technická specifikace a požadavky</w:t>
      </w:r>
      <w:r>
        <w:rPr>
          <w:rFonts w:cs="Arial"/>
        </w:rPr>
        <w:t>.</w:t>
      </w:r>
    </w:p>
    <w:p w14:paraId="34F9FD3B" w14:textId="77777777" w:rsidR="00F85FA0" w:rsidRPr="005B47D0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Obě smluvní strany prohlašují, že si smlouvu pečlivě přečetly a na důkaz souhlasu s výše uvedenými ustanoveními připojují své podpisy:</w:t>
      </w:r>
    </w:p>
    <w:p w14:paraId="757493FA" w14:textId="77777777" w:rsidR="00A5599C" w:rsidRDefault="00A5599C" w:rsidP="00A5599C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</w:p>
    <w:p w14:paraId="145DCBF8" w14:textId="77777777" w:rsidR="008C4B08" w:rsidRDefault="008C4B08" w:rsidP="00A5599C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</w:p>
    <w:p w14:paraId="6D669D2B" w14:textId="77777777" w:rsidR="008C4B08" w:rsidRPr="005B47D0" w:rsidRDefault="008C4B08" w:rsidP="00A5599C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</w:p>
    <w:p w14:paraId="14A85DAE" w14:textId="77777777" w:rsidR="00E548C6" w:rsidRPr="005B47D0" w:rsidRDefault="00E548C6" w:rsidP="00A5599C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</w:p>
    <w:p w14:paraId="1A1E94C9" w14:textId="77777777" w:rsidR="00A5599C" w:rsidRPr="005B47D0" w:rsidRDefault="00A5599C" w:rsidP="00A5599C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……………………………</w:t>
      </w:r>
      <w:r w:rsidR="00382D40">
        <w:rPr>
          <w:rFonts w:cs="Arial"/>
        </w:rPr>
        <w:t>……………………….………</w:t>
      </w:r>
      <w:r w:rsidR="00382D40">
        <w:rPr>
          <w:rFonts w:cs="Arial"/>
        </w:rPr>
        <w:tab/>
      </w:r>
      <w:r w:rsidR="00382D40">
        <w:rPr>
          <w:rFonts w:cs="Arial"/>
        </w:rPr>
        <w:tab/>
      </w:r>
      <w:r w:rsidR="00382D40">
        <w:rPr>
          <w:rFonts w:cs="Arial"/>
        </w:rPr>
        <w:tab/>
      </w:r>
      <w:r w:rsidR="00382D40" w:rsidRPr="005B47D0">
        <w:rPr>
          <w:rFonts w:cs="Arial"/>
        </w:rPr>
        <w:t>……………………………</w:t>
      </w:r>
      <w:r w:rsidR="00382D40">
        <w:rPr>
          <w:rFonts w:cs="Arial"/>
        </w:rPr>
        <w:t>………………………….</w:t>
      </w:r>
    </w:p>
    <w:p w14:paraId="223E9BD1" w14:textId="00953ED0" w:rsidR="00AE0BBD" w:rsidRDefault="008C4B08" w:rsidP="00382D40">
      <w:pPr>
        <w:tabs>
          <w:tab w:val="left" w:pos="0"/>
          <w:tab w:val="left" w:pos="709"/>
          <w:tab w:val="left" w:pos="3450"/>
        </w:tabs>
        <w:spacing w:line="240" w:lineRule="auto"/>
        <w:jc w:val="both"/>
        <w:rPr>
          <w:rFonts w:cs="Arial"/>
          <w:i/>
          <w:sz w:val="20"/>
        </w:rPr>
      </w:pPr>
      <w:r>
        <w:rPr>
          <w:rFonts w:cs="Arial"/>
        </w:rPr>
        <w:t xml:space="preserve">za </w:t>
      </w:r>
      <w:r w:rsidR="00E548C6" w:rsidRPr="005B47D0">
        <w:rPr>
          <w:rFonts w:cs="Arial"/>
        </w:rPr>
        <w:t>prodávajícího</w:t>
      </w:r>
      <w:r w:rsidRPr="008C4B08">
        <w:rPr>
          <w:rFonts w:cs="Arial"/>
          <w:i/>
          <w:sz w:val="20"/>
        </w:rPr>
        <w:t xml:space="preserve"> (podepsáno elektronicky)</w:t>
      </w:r>
      <w:r w:rsidR="00E548C6" w:rsidRPr="005B47D0">
        <w:rPr>
          <w:rFonts w:cs="Arial"/>
        </w:rPr>
        <w:tab/>
      </w:r>
      <w:r w:rsidR="00E548C6" w:rsidRPr="005B47D0">
        <w:rPr>
          <w:rFonts w:cs="Arial"/>
        </w:rPr>
        <w:tab/>
      </w:r>
      <w:r w:rsidR="00E548C6" w:rsidRPr="005B47D0">
        <w:rPr>
          <w:rFonts w:cs="Arial"/>
        </w:rPr>
        <w:tab/>
      </w:r>
      <w:r>
        <w:rPr>
          <w:rFonts w:cs="Arial"/>
        </w:rPr>
        <w:tab/>
        <w:t xml:space="preserve">za </w:t>
      </w:r>
      <w:r w:rsidR="00E548C6" w:rsidRPr="005B47D0">
        <w:rPr>
          <w:rFonts w:cs="Arial"/>
        </w:rPr>
        <w:t>kupujícího</w:t>
      </w:r>
      <w:r>
        <w:rPr>
          <w:rFonts w:cs="Arial"/>
        </w:rPr>
        <w:t xml:space="preserve"> </w:t>
      </w:r>
      <w:r w:rsidRPr="008C4B08">
        <w:rPr>
          <w:rFonts w:cs="Arial"/>
          <w:i/>
          <w:sz w:val="20"/>
        </w:rPr>
        <w:t>(podepsáno elektronicky)</w:t>
      </w:r>
    </w:p>
    <w:p w14:paraId="7897681B" w14:textId="77777777" w:rsidR="00AE0BBD" w:rsidRDefault="00AE0BBD">
      <w:pPr>
        <w:rPr>
          <w:rFonts w:cs="Arial"/>
          <w:i/>
          <w:sz w:val="20"/>
        </w:rPr>
      </w:pPr>
      <w:r>
        <w:rPr>
          <w:rFonts w:cs="Arial"/>
          <w:i/>
          <w:sz w:val="20"/>
        </w:rPr>
        <w:br w:type="page"/>
      </w:r>
    </w:p>
    <w:p w14:paraId="2B3DE55F" w14:textId="0F2F8576" w:rsidR="00682C56" w:rsidRPr="00AE0BBD" w:rsidRDefault="00AE0BBD" w:rsidP="00AE0BBD">
      <w:pPr>
        <w:tabs>
          <w:tab w:val="left" w:pos="0"/>
          <w:tab w:val="left" w:pos="709"/>
          <w:tab w:val="left" w:pos="3450"/>
        </w:tabs>
        <w:spacing w:line="240" w:lineRule="auto"/>
        <w:jc w:val="right"/>
        <w:rPr>
          <w:rFonts w:cs="Arial"/>
          <w:b/>
          <w:bCs/>
        </w:rPr>
      </w:pPr>
      <w:r w:rsidRPr="00AE0BBD">
        <w:rPr>
          <w:rFonts w:cs="Arial"/>
          <w:b/>
          <w:bCs/>
        </w:rPr>
        <w:lastRenderedPageBreak/>
        <w:t>Příloha č. 1</w:t>
      </w:r>
    </w:p>
    <w:p w14:paraId="0FD746D4" w14:textId="6109BE3B" w:rsidR="00AE0BBD" w:rsidRDefault="00AE0BBD" w:rsidP="00AE0BBD">
      <w:pPr>
        <w:tabs>
          <w:tab w:val="left" w:pos="0"/>
          <w:tab w:val="left" w:pos="709"/>
          <w:tab w:val="left" w:pos="3450"/>
        </w:tabs>
        <w:spacing w:line="240" w:lineRule="auto"/>
        <w:jc w:val="center"/>
        <w:rPr>
          <w:rFonts w:cs="Arial"/>
          <w:b/>
          <w:bCs/>
          <w:sz w:val="28"/>
          <w:szCs w:val="28"/>
        </w:rPr>
      </w:pPr>
      <w:r w:rsidRPr="00AE0BBD">
        <w:rPr>
          <w:rFonts w:cs="Arial"/>
          <w:b/>
          <w:bCs/>
          <w:sz w:val="28"/>
          <w:szCs w:val="28"/>
        </w:rPr>
        <w:t>Technická specifikace</w:t>
      </w:r>
    </w:p>
    <w:p w14:paraId="36804AE7" w14:textId="77777777" w:rsidR="00AE0BBD" w:rsidRPr="00EC3F9C" w:rsidRDefault="00AE0BBD" w:rsidP="00AE0BBD">
      <w:pPr>
        <w:pStyle w:val="Standard"/>
        <w:jc w:val="both"/>
        <w:rPr>
          <w:rFonts w:asciiTheme="minorHAnsi" w:hAnsiTheme="minorHAnsi"/>
        </w:rPr>
      </w:pPr>
      <w:r w:rsidRPr="00EC3F9C">
        <w:rPr>
          <w:rFonts w:asciiTheme="minorHAnsi" w:hAnsiTheme="minorHAnsi"/>
        </w:rPr>
        <w:t>Níže uvedené požadavky jsou stanoveny jako minimální.</w:t>
      </w:r>
    </w:p>
    <w:p w14:paraId="72C6442D" w14:textId="77777777" w:rsidR="00AE0BBD" w:rsidRDefault="00AE0BBD" w:rsidP="00AE0BBD">
      <w:pPr>
        <w:pStyle w:val="Standard"/>
        <w:jc w:val="both"/>
        <w:rPr>
          <w:rFonts w:asciiTheme="minorHAnsi" w:hAnsiTheme="minorHAnsi"/>
          <w:b/>
          <w:bCs/>
        </w:rPr>
      </w:pPr>
    </w:p>
    <w:p w14:paraId="3B325E65" w14:textId="77777777" w:rsidR="00AE0BBD" w:rsidRDefault="00AE0BBD" w:rsidP="00AE0BBD">
      <w:pPr>
        <w:pStyle w:val="Standard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u w:val="single"/>
        </w:rPr>
        <w:t>Počet dodávaných zařízení</w:t>
      </w:r>
      <w:r w:rsidRPr="0029785E">
        <w:rPr>
          <w:rFonts w:asciiTheme="minorHAnsi" w:hAnsiTheme="minorHAnsi"/>
          <w:b/>
          <w:bCs/>
          <w:u w:val="single"/>
        </w:rPr>
        <w:t>:</w:t>
      </w:r>
      <w:r w:rsidRPr="00C26855">
        <w:rPr>
          <w:rFonts w:asciiTheme="minorHAnsi" w:hAnsiTheme="minorHAnsi"/>
          <w:bCs/>
        </w:rPr>
        <w:t xml:space="preserve"> </w:t>
      </w:r>
      <w:r w:rsidRPr="00C26855">
        <w:rPr>
          <w:rFonts w:asciiTheme="minorHAnsi" w:hAnsiTheme="minorHAnsi"/>
          <w:bCs/>
        </w:rPr>
        <w:tab/>
      </w:r>
      <w:r w:rsidRPr="00C26855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E90C43">
        <w:rPr>
          <w:rFonts w:asciiTheme="minorHAnsi" w:hAnsiTheme="minorHAnsi"/>
          <w:b/>
          <w:bCs/>
        </w:rPr>
        <w:t>1</w:t>
      </w:r>
    </w:p>
    <w:p w14:paraId="165C1FD6" w14:textId="77777777" w:rsidR="00AE0BBD" w:rsidRPr="009136D5" w:rsidRDefault="00AE0BBD" w:rsidP="00AE0BBD">
      <w:pPr>
        <w:pStyle w:val="Standard"/>
        <w:jc w:val="both"/>
        <w:rPr>
          <w:rFonts w:asciiTheme="minorHAnsi" w:hAnsiTheme="minorHAnsi"/>
          <w:b/>
          <w:bCs/>
        </w:rPr>
      </w:pPr>
    </w:p>
    <w:p w14:paraId="673E11BB" w14:textId="77777777" w:rsidR="00AE0BBD" w:rsidRDefault="00AE0BBD" w:rsidP="00AE0BBD">
      <w:pPr>
        <w:pStyle w:val="Standard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Obecné požadavky</w:t>
      </w:r>
    </w:p>
    <w:p w14:paraId="533B2D97" w14:textId="77777777" w:rsidR="00AE0BBD" w:rsidRPr="00BB69BC" w:rsidRDefault="00AE0BBD" w:rsidP="00AE0BBD">
      <w:pPr>
        <w:pStyle w:val="Standard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zboží je nové a nepoužité</w:t>
      </w:r>
    </w:p>
    <w:p w14:paraId="2050E0F6" w14:textId="77777777" w:rsidR="00AE0BBD" w:rsidRPr="00BB69BC" w:rsidRDefault="00AE0BBD" w:rsidP="00AE0BBD">
      <w:pPr>
        <w:pStyle w:val="Standard"/>
        <w:numPr>
          <w:ilvl w:val="0"/>
          <w:numId w:val="33"/>
        </w:numPr>
        <w:rPr>
          <w:rFonts w:asciiTheme="minorHAnsi" w:hAnsiTheme="minorHAnsi"/>
        </w:rPr>
      </w:pPr>
      <w:r w:rsidRPr="00BB69BC">
        <w:rPr>
          <w:rFonts w:asciiTheme="minorHAnsi" w:hAnsiTheme="minorHAnsi"/>
        </w:rPr>
        <w:t>je plně funkční a má obvyklé technické vlastnosti, odpovíd</w:t>
      </w:r>
      <w:r>
        <w:rPr>
          <w:rFonts w:asciiTheme="minorHAnsi" w:hAnsiTheme="minorHAnsi"/>
        </w:rPr>
        <w:t>ající technickým údajům výrobce a platným normám a právním předpisům České republiky</w:t>
      </w:r>
    </w:p>
    <w:p w14:paraId="59D2EE72" w14:textId="77777777" w:rsidR="00AE0BBD" w:rsidRDefault="00AE0BBD" w:rsidP="00AE0BBD">
      <w:pPr>
        <w:pStyle w:val="Standard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je určeno pro použití v České republice </w:t>
      </w:r>
      <w:r w:rsidRPr="006942D3">
        <w:rPr>
          <w:rFonts w:asciiTheme="minorHAnsi" w:hAnsiTheme="minorHAnsi"/>
        </w:rPr>
        <w:t>a pochází z oficiální distribuce výrobce pro Českou republiku</w:t>
      </w:r>
    </w:p>
    <w:p w14:paraId="0C126448" w14:textId="77777777" w:rsidR="00AE0BBD" w:rsidRPr="00BB69BC" w:rsidRDefault="00AE0BBD" w:rsidP="00AE0BBD">
      <w:pPr>
        <w:pStyle w:val="Standard"/>
        <w:ind w:left="720"/>
        <w:rPr>
          <w:rFonts w:asciiTheme="minorHAnsi" w:hAnsiTheme="minorHAnsi"/>
        </w:rPr>
      </w:pPr>
    </w:p>
    <w:p w14:paraId="389DE1F8" w14:textId="77777777" w:rsidR="00AE0BBD" w:rsidRPr="00AE0BBD" w:rsidRDefault="00AE0BBD" w:rsidP="00AE0BBD">
      <w:pPr>
        <w:pStyle w:val="Standard"/>
        <w:jc w:val="both"/>
        <w:rPr>
          <w:rFonts w:asciiTheme="minorHAnsi" w:hAnsiTheme="minorHAnsi" w:cstheme="minorHAnsi"/>
          <w:b/>
          <w:u w:val="single"/>
        </w:rPr>
      </w:pPr>
      <w:r w:rsidRPr="00AE0BBD">
        <w:rPr>
          <w:rFonts w:asciiTheme="minorHAnsi" w:hAnsiTheme="minorHAnsi" w:cstheme="minorHAnsi"/>
          <w:b/>
          <w:u w:val="single"/>
        </w:rPr>
        <w:t>Specifikace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AE0BBD" w:rsidRPr="00AE0BBD" w14:paraId="47FE333F" w14:textId="77777777" w:rsidTr="001669EA">
        <w:tc>
          <w:tcPr>
            <w:tcW w:w="7933" w:type="dxa"/>
          </w:tcPr>
          <w:p w14:paraId="59ECE130" w14:textId="3D860DD3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0BBD">
              <w:rPr>
                <w:rFonts w:asciiTheme="minorHAnsi" w:hAnsiTheme="minorHAnsi" w:cstheme="minorHAnsi"/>
                <w:b/>
                <w:bCs/>
              </w:rPr>
              <w:t>označení</w:t>
            </w:r>
          </w:p>
        </w:tc>
        <w:tc>
          <w:tcPr>
            <w:tcW w:w="1129" w:type="dxa"/>
          </w:tcPr>
          <w:p w14:paraId="6F87CE31" w14:textId="33418BA0" w:rsidR="00AE0BBD" w:rsidRPr="00AE0BBD" w:rsidRDefault="00AE0BBD" w:rsidP="001669E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BBD">
              <w:rPr>
                <w:rFonts w:asciiTheme="minorHAnsi" w:hAnsiTheme="minorHAnsi" w:cstheme="minorHAnsi"/>
                <w:b/>
                <w:bCs/>
              </w:rPr>
              <w:t>počet</w:t>
            </w:r>
          </w:p>
        </w:tc>
      </w:tr>
      <w:tr w:rsidR="001669EA" w:rsidRPr="00AE0BBD" w14:paraId="67D8E24B" w14:textId="77777777" w:rsidTr="001669EA">
        <w:tc>
          <w:tcPr>
            <w:tcW w:w="7933" w:type="dxa"/>
            <w:vAlign w:val="center"/>
          </w:tcPr>
          <w:p w14:paraId="1E8AB8DA" w14:textId="33C8A979" w:rsidR="001669EA" w:rsidRPr="001669EA" w:rsidRDefault="001669EA" w:rsidP="001669EA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1669EA">
              <w:rPr>
                <w:rFonts w:asciiTheme="minorHAnsi" w:hAnsiTheme="minorHAnsi" w:cstheme="minorHAnsi"/>
                <w:color w:val="000000"/>
              </w:rPr>
              <w:t>Catalyst 9400 Series 7 slot, DNA-E LIC</w:t>
            </w:r>
          </w:p>
        </w:tc>
        <w:tc>
          <w:tcPr>
            <w:tcW w:w="1129" w:type="dxa"/>
            <w:vAlign w:val="center"/>
          </w:tcPr>
          <w:p w14:paraId="4AE254B8" w14:textId="6EAD9592" w:rsidR="001669EA" w:rsidRPr="001669EA" w:rsidRDefault="001669EA" w:rsidP="001669EA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1669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1669EA" w:rsidRPr="00AE0BBD" w14:paraId="74738016" w14:textId="77777777" w:rsidTr="001669EA">
        <w:tc>
          <w:tcPr>
            <w:tcW w:w="7933" w:type="dxa"/>
            <w:vAlign w:val="center"/>
          </w:tcPr>
          <w:p w14:paraId="066E5415" w14:textId="58AFE185" w:rsidR="001669EA" w:rsidRPr="001669EA" w:rsidRDefault="001669EA" w:rsidP="001669EA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1669EA">
              <w:rPr>
                <w:rFonts w:asciiTheme="minorHAnsi" w:hAnsiTheme="minorHAnsi" w:cstheme="minorHAnsi"/>
                <w:color w:val="000000"/>
              </w:rPr>
              <w:t>Cisco Catalyst 9400 Series Supervisor 2 Module (C9400X-SUP-2)</w:t>
            </w:r>
          </w:p>
        </w:tc>
        <w:tc>
          <w:tcPr>
            <w:tcW w:w="1129" w:type="dxa"/>
            <w:vAlign w:val="center"/>
          </w:tcPr>
          <w:p w14:paraId="519C4E45" w14:textId="2DBAC2E3" w:rsidR="001669EA" w:rsidRPr="001669EA" w:rsidRDefault="001669EA" w:rsidP="001669EA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1669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1669EA" w:rsidRPr="00AE0BBD" w14:paraId="42EE7B8D" w14:textId="77777777" w:rsidTr="001669EA">
        <w:tc>
          <w:tcPr>
            <w:tcW w:w="7933" w:type="dxa"/>
            <w:vAlign w:val="center"/>
          </w:tcPr>
          <w:p w14:paraId="0E05AFBA" w14:textId="7368E29D" w:rsidR="001669EA" w:rsidRPr="001669EA" w:rsidRDefault="001669EA" w:rsidP="001669EA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1669EA">
              <w:rPr>
                <w:rFonts w:asciiTheme="minorHAnsi" w:hAnsiTheme="minorHAnsi" w:cstheme="minorHAnsi"/>
                <w:color w:val="000000"/>
              </w:rPr>
              <w:t>Cisco Catalyst 9400 Series 48-Port UPOE+ 10G mGig (C9400-LC-48HX)</w:t>
            </w:r>
          </w:p>
        </w:tc>
        <w:tc>
          <w:tcPr>
            <w:tcW w:w="1129" w:type="dxa"/>
            <w:vAlign w:val="center"/>
          </w:tcPr>
          <w:p w14:paraId="0B331D0F" w14:textId="0BFA8589" w:rsidR="001669EA" w:rsidRPr="001669EA" w:rsidRDefault="001669EA" w:rsidP="001669EA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1669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1669EA" w:rsidRPr="00AE0BBD" w14:paraId="25803E38" w14:textId="77777777" w:rsidTr="001669EA">
        <w:tc>
          <w:tcPr>
            <w:tcW w:w="7933" w:type="dxa"/>
            <w:vAlign w:val="center"/>
          </w:tcPr>
          <w:p w14:paraId="5206A56A" w14:textId="79BA567B" w:rsidR="001669EA" w:rsidRPr="001669EA" w:rsidRDefault="001669EA" w:rsidP="001669EA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1669EA">
              <w:rPr>
                <w:rFonts w:asciiTheme="minorHAnsi" w:hAnsiTheme="minorHAnsi" w:cstheme="minorHAnsi"/>
                <w:color w:val="000000"/>
              </w:rPr>
              <w:t>Cisco Catalyst 9400 Series 48-Port UPOE+ 10/100/1000 (RJ-45) (C9400-LC-48H)</w:t>
            </w:r>
          </w:p>
        </w:tc>
        <w:tc>
          <w:tcPr>
            <w:tcW w:w="1129" w:type="dxa"/>
            <w:vAlign w:val="center"/>
          </w:tcPr>
          <w:p w14:paraId="6404C180" w14:textId="6DED3B51" w:rsidR="001669EA" w:rsidRPr="001669EA" w:rsidRDefault="001669EA" w:rsidP="001669EA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1669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1669EA" w:rsidRPr="00AE0BBD" w14:paraId="5086F19E" w14:textId="77777777" w:rsidTr="001669EA">
        <w:tc>
          <w:tcPr>
            <w:tcW w:w="7933" w:type="dxa"/>
            <w:vAlign w:val="center"/>
          </w:tcPr>
          <w:p w14:paraId="43DFA157" w14:textId="25179596" w:rsidR="001669EA" w:rsidRPr="001669EA" w:rsidRDefault="001669EA" w:rsidP="001669EA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1669EA">
              <w:rPr>
                <w:rFonts w:asciiTheme="minorHAnsi" w:hAnsiTheme="minorHAnsi" w:cstheme="minorHAnsi"/>
                <w:color w:val="000000"/>
              </w:rPr>
              <w:t>Cisco Catalyst 9400 Series 3200W AC Power Supply (C9400-PWR-3200AC)</w:t>
            </w:r>
          </w:p>
        </w:tc>
        <w:tc>
          <w:tcPr>
            <w:tcW w:w="1129" w:type="dxa"/>
            <w:vAlign w:val="center"/>
          </w:tcPr>
          <w:p w14:paraId="753D6CE1" w14:textId="6476E2E4" w:rsidR="001669EA" w:rsidRPr="001669EA" w:rsidRDefault="001669EA" w:rsidP="001669EA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1669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1669EA" w:rsidRPr="00AE0BBD" w14:paraId="71BA12D0" w14:textId="77777777" w:rsidTr="001669EA">
        <w:tc>
          <w:tcPr>
            <w:tcW w:w="7933" w:type="dxa"/>
            <w:vAlign w:val="center"/>
          </w:tcPr>
          <w:p w14:paraId="330CA904" w14:textId="3FEB3705" w:rsidR="001669EA" w:rsidRPr="001669EA" w:rsidRDefault="001669EA" w:rsidP="001669EA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669EA">
              <w:rPr>
                <w:rFonts w:asciiTheme="minorHAnsi" w:hAnsiTheme="minorHAnsi" w:cstheme="minorHAnsi"/>
                <w:color w:val="000000"/>
              </w:rPr>
              <w:t>Cisco Catalyst 9400 DNA Essential 3 Year License (C9400-DNA-E-3Y)</w:t>
            </w:r>
          </w:p>
        </w:tc>
        <w:tc>
          <w:tcPr>
            <w:tcW w:w="1129" w:type="dxa"/>
            <w:vAlign w:val="center"/>
          </w:tcPr>
          <w:p w14:paraId="07BCD167" w14:textId="3DAA8DC3" w:rsidR="001669EA" w:rsidRPr="001669EA" w:rsidRDefault="001669EA" w:rsidP="001669EA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69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1669EA" w:rsidRPr="00AE0BBD" w14:paraId="07E61AC9" w14:textId="77777777" w:rsidTr="001669EA">
        <w:tc>
          <w:tcPr>
            <w:tcW w:w="7933" w:type="dxa"/>
            <w:vAlign w:val="center"/>
          </w:tcPr>
          <w:p w14:paraId="53AD255B" w14:textId="530D4E9A" w:rsidR="001669EA" w:rsidRPr="001669EA" w:rsidRDefault="001669EA" w:rsidP="001669EA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669EA">
              <w:rPr>
                <w:rFonts w:asciiTheme="minorHAnsi" w:hAnsiTheme="minorHAnsi" w:cstheme="minorHAnsi"/>
                <w:color w:val="000000"/>
              </w:rPr>
              <w:t>SNTC-8X5XNBD Catalyst 9400 Series 7 slot 5 Year Support</w:t>
            </w:r>
          </w:p>
        </w:tc>
        <w:tc>
          <w:tcPr>
            <w:tcW w:w="1129" w:type="dxa"/>
            <w:vAlign w:val="center"/>
          </w:tcPr>
          <w:p w14:paraId="347F04C0" w14:textId="408D3ED7" w:rsidR="001669EA" w:rsidRPr="001669EA" w:rsidRDefault="001669EA" w:rsidP="001669EA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69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</w:tbl>
    <w:p w14:paraId="1100FE6C" w14:textId="77777777" w:rsidR="00AE0BBD" w:rsidRDefault="00AE0BBD" w:rsidP="00AE0BBD">
      <w:pPr>
        <w:pStyle w:val="Standard"/>
        <w:jc w:val="both"/>
        <w:rPr>
          <w:rFonts w:asciiTheme="minorHAnsi" w:hAnsiTheme="minorHAnsi" w:cstheme="minorHAnsi"/>
        </w:rPr>
      </w:pPr>
    </w:p>
    <w:p w14:paraId="581E1882" w14:textId="77777777" w:rsidR="00AE0BBD" w:rsidRPr="00597DB9" w:rsidRDefault="00AE0BBD" w:rsidP="00AE0BBD">
      <w:pPr>
        <w:pStyle w:val="Standard"/>
        <w:jc w:val="both"/>
        <w:rPr>
          <w:rFonts w:asciiTheme="minorHAnsi" w:hAnsiTheme="minorHAnsi"/>
          <w:b/>
          <w:u w:val="single"/>
        </w:rPr>
      </w:pPr>
      <w:r w:rsidRPr="00597DB9">
        <w:rPr>
          <w:rFonts w:asciiTheme="minorHAnsi" w:hAnsiTheme="minorHAnsi"/>
          <w:b/>
          <w:u w:val="single"/>
        </w:rPr>
        <w:t>Záruka</w:t>
      </w:r>
      <w:r>
        <w:rPr>
          <w:rFonts w:asciiTheme="minorHAnsi" w:hAnsiTheme="minorHAnsi"/>
          <w:b/>
          <w:u w:val="single"/>
        </w:rPr>
        <w:t xml:space="preserve"> a servisní podpora</w:t>
      </w:r>
    </w:p>
    <w:p w14:paraId="159F26FE" w14:textId="337D6B15" w:rsidR="00AE0BBD" w:rsidRDefault="00AE0BBD" w:rsidP="00AE0BBD">
      <w:pPr>
        <w:pStyle w:val="Standard"/>
        <w:numPr>
          <w:ilvl w:val="0"/>
          <w:numId w:val="35"/>
        </w:numPr>
        <w:jc w:val="both"/>
        <w:textAlignment w:val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servisní podpora je 60</w:t>
      </w:r>
      <w:r w:rsidRPr="00E4428E">
        <w:rPr>
          <w:rFonts w:asciiTheme="minorHAnsi" w:hAnsiTheme="minorHAnsi"/>
          <w:color w:val="000000" w:themeColor="text1"/>
        </w:rPr>
        <w:t xml:space="preserve"> měsíců </w:t>
      </w:r>
    </w:p>
    <w:p w14:paraId="69751251" w14:textId="4FFAF160" w:rsidR="00AE0BBD" w:rsidRDefault="00AE0BBD" w:rsidP="00AE0BBD">
      <w:pPr>
        <w:pStyle w:val="Standard"/>
        <w:jc w:val="both"/>
        <w:rPr>
          <w:rFonts w:asciiTheme="minorHAnsi" w:hAnsiTheme="minorHAnsi" w:cstheme="minorHAnsi"/>
        </w:rPr>
      </w:pPr>
    </w:p>
    <w:p w14:paraId="5D56A9BF" w14:textId="77777777" w:rsidR="00AE0BBD" w:rsidRPr="00AE0BBD" w:rsidRDefault="00AE0BBD" w:rsidP="00AE0BBD">
      <w:pPr>
        <w:pStyle w:val="Standard"/>
        <w:jc w:val="both"/>
        <w:rPr>
          <w:rFonts w:asciiTheme="minorHAnsi" w:hAnsiTheme="minorHAnsi" w:cstheme="minorHAnsi"/>
        </w:rPr>
      </w:pPr>
    </w:p>
    <w:sectPr w:rsidR="00AE0BBD" w:rsidRPr="00AE0BBD" w:rsidSect="002667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359D" w14:textId="77777777" w:rsidR="00AB5415" w:rsidRDefault="00AB5415" w:rsidP="00682C56">
      <w:pPr>
        <w:spacing w:after="0" w:line="240" w:lineRule="auto"/>
      </w:pPr>
      <w:r>
        <w:separator/>
      </w:r>
    </w:p>
  </w:endnote>
  <w:endnote w:type="continuationSeparator" w:id="0">
    <w:p w14:paraId="3B4D4DF1" w14:textId="77777777" w:rsidR="00AB5415" w:rsidRDefault="00AB5415" w:rsidP="0068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415D" w14:textId="77777777" w:rsidR="004D6CA1" w:rsidRPr="004D6CA1" w:rsidRDefault="004D6CA1">
    <w:pPr>
      <w:pStyle w:val="Zpat"/>
      <w:jc w:val="center"/>
    </w:pPr>
    <w:r w:rsidRPr="004D6CA1">
      <w:t xml:space="preserve">Stránka </w:t>
    </w:r>
    <w:r w:rsidRPr="004D6CA1">
      <w:fldChar w:fldCharType="begin"/>
    </w:r>
    <w:r w:rsidRPr="004D6CA1">
      <w:instrText>PAGE  \* Arabic  \* MERGEFORMAT</w:instrText>
    </w:r>
    <w:r w:rsidRPr="004D6CA1">
      <w:fldChar w:fldCharType="separate"/>
    </w:r>
    <w:r w:rsidR="0064200D">
      <w:rPr>
        <w:noProof/>
      </w:rPr>
      <w:t>4</w:t>
    </w:r>
    <w:r w:rsidRPr="004D6CA1">
      <w:fldChar w:fldCharType="end"/>
    </w:r>
    <w:r w:rsidRPr="004D6CA1">
      <w:t xml:space="preserve"> z </w:t>
    </w:r>
    <w:r w:rsidR="00077444">
      <w:rPr>
        <w:noProof/>
      </w:rPr>
      <w:fldChar w:fldCharType="begin"/>
    </w:r>
    <w:r w:rsidR="00077444">
      <w:rPr>
        <w:noProof/>
      </w:rPr>
      <w:instrText>NUMPAGES  \* Arabic  \* MERGEFORMAT</w:instrText>
    </w:r>
    <w:r w:rsidR="00077444">
      <w:rPr>
        <w:noProof/>
      </w:rPr>
      <w:fldChar w:fldCharType="separate"/>
    </w:r>
    <w:r w:rsidR="0064200D">
      <w:rPr>
        <w:noProof/>
      </w:rPr>
      <w:t>4</w:t>
    </w:r>
    <w:r w:rsidR="00077444">
      <w:rPr>
        <w:noProof/>
      </w:rPr>
      <w:fldChar w:fldCharType="end"/>
    </w:r>
  </w:p>
  <w:p w14:paraId="2E0B5E3C" w14:textId="77777777" w:rsidR="00682C56" w:rsidRDefault="00682C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D7D3" w14:textId="77777777" w:rsidR="00AB5415" w:rsidRDefault="00AB5415" w:rsidP="00682C56">
      <w:pPr>
        <w:spacing w:after="0" w:line="240" w:lineRule="auto"/>
      </w:pPr>
      <w:r>
        <w:separator/>
      </w:r>
    </w:p>
  </w:footnote>
  <w:footnote w:type="continuationSeparator" w:id="0">
    <w:p w14:paraId="11F60095" w14:textId="77777777" w:rsidR="00AB5415" w:rsidRDefault="00AB5415" w:rsidP="0068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DD7"/>
    <w:multiLevelType w:val="hybridMultilevel"/>
    <w:tmpl w:val="A5206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2D5"/>
    <w:multiLevelType w:val="hybridMultilevel"/>
    <w:tmpl w:val="FF48F4E6"/>
    <w:lvl w:ilvl="0" w:tplc="CEB0CDC8">
      <w:start w:val="1"/>
      <w:numFmt w:val="decimal"/>
      <w:lvlText w:val="%1."/>
      <w:lvlJc w:val="left"/>
      <w:pPr>
        <w:ind w:left="-2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26" w:hanging="360"/>
      </w:pPr>
    </w:lvl>
    <w:lvl w:ilvl="2" w:tplc="0405001B" w:tentative="1">
      <w:start w:val="1"/>
      <w:numFmt w:val="lowerRoman"/>
      <w:lvlText w:val="%3."/>
      <w:lvlJc w:val="right"/>
      <w:pPr>
        <w:ind w:left="1146" w:hanging="180"/>
      </w:pPr>
    </w:lvl>
    <w:lvl w:ilvl="3" w:tplc="0405000F" w:tentative="1">
      <w:start w:val="1"/>
      <w:numFmt w:val="decimal"/>
      <w:lvlText w:val="%4."/>
      <w:lvlJc w:val="left"/>
      <w:pPr>
        <w:ind w:left="1866" w:hanging="360"/>
      </w:pPr>
    </w:lvl>
    <w:lvl w:ilvl="4" w:tplc="04050019" w:tentative="1">
      <w:start w:val="1"/>
      <w:numFmt w:val="lowerLetter"/>
      <w:lvlText w:val="%5."/>
      <w:lvlJc w:val="left"/>
      <w:pPr>
        <w:ind w:left="2586" w:hanging="360"/>
      </w:pPr>
    </w:lvl>
    <w:lvl w:ilvl="5" w:tplc="0405001B" w:tentative="1">
      <w:start w:val="1"/>
      <w:numFmt w:val="lowerRoman"/>
      <w:lvlText w:val="%6."/>
      <w:lvlJc w:val="right"/>
      <w:pPr>
        <w:ind w:left="3306" w:hanging="180"/>
      </w:pPr>
    </w:lvl>
    <w:lvl w:ilvl="6" w:tplc="0405000F" w:tentative="1">
      <w:start w:val="1"/>
      <w:numFmt w:val="decimal"/>
      <w:lvlText w:val="%7."/>
      <w:lvlJc w:val="left"/>
      <w:pPr>
        <w:ind w:left="4026" w:hanging="360"/>
      </w:pPr>
    </w:lvl>
    <w:lvl w:ilvl="7" w:tplc="04050019" w:tentative="1">
      <w:start w:val="1"/>
      <w:numFmt w:val="lowerLetter"/>
      <w:lvlText w:val="%8."/>
      <w:lvlJc w:val="left"/>
      <w:pPr>
        <w:ind w:left="4746" w:hanging="360"/>
      </w:pPr>
    </w:lvl>
    <w:lvl w:ilvl="8" w:tplc="0405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2" w15:restartNumberingAfterBreak="0">
    <w:nsid w:val="05B21F85"/>
    <w:multiLevelType w:val="hybridMultilevel"/>
    <w:tmpl w:val="B5CE2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600C"/>
    <w:multiLevelType w:val="hybridMultilevel"/>
    <w:tmpl w:val="5E3C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769"/>
    <w:multiLevelType w:val="hybridMultilevel"/>
    <w:tmpl w:val="741259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F5F2E"/>
    <w:multiLevelType w:val="hybridMultilevel"/>
    <w:tmpl w:val="65445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F4B0B"/>
    <w:multiLevelType w:val="hybridMultilevel"/>
    <w:tmpl w:val="518E30F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2845898"/>
    <w:multiLevelType w:val="hybridMultilevel"/>
    <w:tmpl w:val="4A04F9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725B6"/>
    <w:multiLevelType w:val="hybridMultilevel"/>
    <w:tmpl w:val="39027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E891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1861"/>
    <w:multiLevelType w:val="hybridMultilevel"/>
    <w:tmpl w:val="F1A261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A626E"/>
    <w:multiLevelType w:val="hybridMultilevel"/>
    <w:tmpl w:val="B298E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C4B97"/>
    <w:multiLevelType w:val="hybridMultilevel"/>
    <w:tmpl w:val="27207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165E1"/>
    <w:multiLevelType w:val="hybridMultilevel"/>
    <w:tmpl w:val="09F8A8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FE4ED6"/>
    <w:multiLevelType w:val="hybridMultilevel"/>
    <w:tmpl w:val="4FFE5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B3FB2"/>
    <w:multiLevelType w:val="hybridMultilevel"/>
    <w:tmpl w:val="8E82B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D7183"/>
    <w:multiLevelType w:val="hybridMultilevel"/>
    <w:tmpl w:val="DF86B6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32763A"/>
    <w:multiLevelType w:val="hybridMultilevel"/>
    <w:tmpl w:val="ABC42D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06DE0"/>
    <w:multiLevelType w:val="hybridMultilevel"/>
    <w:tmpl w:val="042A3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C06E1"/>
    <w:multiLevelType w:val="hybridMultilevel"/>
    <w:tmpl w:val="3F5E76F4"/>
    <w:lvl w:ilvl="0" w:tplc="04301D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C528E"/>
    <w:multiLevelType w:val="hybridMultilevel"/>
    <w:tmpl w:val="7A7C5B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C4F49"/>
    <w:multiLevelType w:val="hybridMultilevel"/>
    <w:tmpl w:val="AFD4D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C163C"/>
    <w:multiLevelType w:val="hybridMultilevel"/>
    <w:tmpl w:val="02FCBFE0"/>
    <w:lvl w:ilvl="0" w:tplc="BED456E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C32AC"/>
    <w:multiLevelType w:val="hybridMultilevel"/>
    <w:tmpl w:val="7C66B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A5049D"/>
    <w:multiLevelType w:val="hybridMultilevel"/>
    <w:tmpl w:val="6ADC07E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3D71EC6"/>
    <w:multiLevelType w:val="hybridMultilevel"/>
    <w:tmpl w:val="B4580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C72F8"/>
    <w:multiLevelType w:val="hybridMultilevel"/>
    <w:tmpl w:val="742AE6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B306A0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91E06"/>
    <w:multiLevelType w:val="hybridMultilevel"/>
    <w:tmpl w:val="255C8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47870"/>
    <w:multiLevelType w:val="hybridMultilevel"/>
    <w:tmpl w:val="F4BA4874"/>
    <w:lvl w:ilvl="0" w:tplc="E0CA214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E71B4"/>
    <w:multiLevelType w:val="hybridMultilevel"/>
    <w:tmpl w:val="B3683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04184"/>
    <w:multiLevelType w:val="hybridMultilevel"/>
    <w:tmpl w:val="F7B691BC"/>
    <w:lvl w:ilvl="0" w:tplc="BED456E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7C320E"/>
    <w:multiLevelType w:val="hybridMultilevel"/>
    <w:tmpl w:val="1102C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06A0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55BB8"/>
    <w:multiLevelType w:val="hybridMultilevel"/>
    <w:tmpl w:val="F45E3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B12315"/>
    <w:multiLevelType w:val="hybridMultilevel"/>
    <w:tmpl w:val="4DDEB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075B"/>
    <w:multiLevelType w:val="hybridMultilevel"/>
    <w:tmpl w:val="D54E9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83BF5"/>
    <w:multiLevelType w:val="hybridMultilevel"/>
    <w:tmpl w:val="A704AE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351400">
    <w:abstractNumId w:val="1"/>
  </w:num>
  <w:num w:numId="2" w16cid:durableId="1184125862">
    <w:abstractNumId w:val="12"/>
  </w:num>
  <w:num w:numId="3" w16cid:durableId="813570844">
    <w:abstractNumId w:val="19"/>
  </w:num>
  <w:num w:numId="4" w16cid:durableId="1389843735">
    <w:abstractNumId w:val="3"/>
  </w:num>
  <w:num w:numId="5" w16cid:durableId="1236747078">
    <w:abstractNumId w:val="22"/>
  </w:num>
  <w:num w:numId="6" w16cid:durableId="599416287">
    <w:abstractNumId w:val="4"/>
  </w:num>
  <w:num w:numId="7" w16cid:durableId="967514284">
    <w:abstractNumId w:val="9"/>
  </w:num>
  <w:num w:numId="8" w16cid:durableId="1870951778">
    <w:abstractNumId w:val="23"/>
  </w:num>
  <w:num w:numId="9" w16cid:durableId="1074888628">
    <w:abstractNumId w:val="7"/>
  </w:num>
  <w:num w:numId="10" w16cid:durableId="1254556857">
    <w:abstractNumId w:val="34"/>
  </w:num>
  <w:num w:numId="11" w16cid:durableId="414254355">
    <w:abstractNumId w:val="6"/>
  </w:num>
  <w:num w:numId="12" w16cid:durableId="380439853">
    <w:abstractNumId w:val="16"/>
  </w:num>
  <w:num w:numId="13" w16cid:durableId="1595046950">
    <w:abstractNumId w:val="25"/>
  </w:num>
  <w:num w:numId="14" w16cid:durableId="2004308395">
    <w:abstractNumId w:val="27"/>
  </w:num>
  <w:num w:numId="15" w16cid:durableId="1385831227">
    <w:abstractNumId w:val="33"/>
  </w:num>
  <w:num w:numId="16" w16cid:durableId="1048845984">
    <w:abstractNumId w:val="18"/>
  </w:num>
  <w:num w:numId="17" w16cid:durableId="945573854">
    <w:abstractNumId w:val="32"/>
  </w:num>
  <w:num w:numId="18" w16cid:durableId="1279222471">
    <w:abstractNumId w:val="2"/>
  </w:num>
  <w:num w:numId="19" w16cid:durableId="697201199">
    <w:abstractNumId w:val="28"/>
  </w:num>
  <w:num w:numId="20" w16cid:durableId="1670059217">
    <w:abstractNumId w:val="21"/>
  </w:num>
  <w:num w:numId="21" w16cid:durableId="585116396">
    <w:abstractNumId w:val="29"/>
  </w:num>
  <w:num w:numId="22" w16cid:durableId="1252549465">
    <w:abstractNumId w:val="26"/>
  </w:num>
  <w:num w:numId="23" w16cid:durableId="1778334403">
    <w:abstractNumId w:val="5"/>
  </w:num>
  <w:num w:numId="24" w16cid:durableId="1818455958">
    <w:abstractNumId w:val="11"/>
  </w:num>
  <w:num w:numId="25" w16cid:durableId="283122996">
    <w:abstractNumId w:val="24"/>
  </w:num>
  <w:num w:numId="26" w16cid:durableId="663702335">
    <w:abstractNumId w:val="13"/>
  </w:num>
  <w:num w:numId="27" w16cid:durableId="1903783385">
    <w:abstractNumId w:val="14"/>
  </w:num>
  <w:num w:numId="28" w16cid:durableId="1331560764">
    <w:abstractNumId w:val="30"/>
  </w:num>
  <w:num w:numId="29" w16cid:durableId="1524175368">
    <w:abstractNumId w:val="31"/>
  </w:num>
  <w:num w:numId="30" w16cid:durableId="1717272323">
    <w:abstractNumId w:val="8"/>
  </w:num>
  <w:num w:numId="31" w16cid:durableId="1034231292">
    <w:abstractNumId w:val="15"/>
  </w:num>
  <w:num w:numId="32" w16cid:durableId="1221016094">
    <w:abstractNumId w:val="0"/>
  </w:num>
  <w:num w:numId="33" w16cid:durableId="1703165209">
    <w:abstractNumId w:val="10"/>
  </w:num>
  <w:num w:numId="34" w16cid:durableId="641346964">
    <w:abstractNumId w:val="20"/>
  </w:num>
  <w:num w:numId="35" w16cid:durableId="10853055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8A"/>
    <w:rsid w:val="00044E47"/>
    <w:rsid w:val="00077444"/>
    <w:rsid w:val="000850F4"/>
    <w:rsid w:val="00097B30"/>
    <w:rsid w:val="000F3AB8"/>
    <w:rsid w:val="001669EA"/>
    <w:rsid w:val="00185225"/>
    <w:rsid w:val="0019484E"/>
    <w:rsid w:val="00195191"/>
    <w:rsid w:val="001C0CD7"/>
    <w:rsid w:val="00206DF7"/>
    <w:rsid w:val="00216E01"/>
    <w:rsid w:val="0025009F"/>
    <w:rsid w:val="002667EB"/>
    <w:rsid w:val="002B2FBC"/>
    <w:rsid w:val="0032652D"/>
    <w:rsid w:val="00326C7A"/>
    <w:rsid w:val="0034568A"/>
    <w:rsid w:val="0036224D"/>
    <w:rsid w:val="0036296E"/>
    <w:rsid w:val="00382D40"/>
    <w:rsid w:val="003841CE"/>
    <w:rsid w:val="003C375D"/>
    <w:rsid w:val="003F415C"/>
    <w:rsid w:val="00463BEC"/>
    <w:rsid w:val="00470024"/>
    <w:rsid w:val="00484D2F"/>
    <w:rsid w:val="004928AA"/>
    <w:rsid w:val="004A71AE"/>
    <w:rsid w:val="004C7EAD"/>
    <w:rsid w:val="004D6CA1"/>
    <w:rsid w:val="004E400D"/>
    <w:rsid w:val="00542E89"/>
    <w:rsid w:val="005430AD"/>
    <w:rsid w:val="005847E4"/>
    <w:rsid w:val="005A16E8"/>
    <w:rsid w:val="005B47D0"/>
    <w:rsid w:val="006129EA"/>
    <w:rsid w:val="0064200D"/>
    <w:rsid w:val="00671819"/>
    <w:rsid w:val="00682C56"/>
    <w:rsid w:val="00686D64"/>
    <w:rsid w:val="0069706B"/>
    <w:rsid w:val="006C329A"/>
    <w:rsid w:val="00702E3E"/>
    <w:rsid w:val="007105CD"/>
    <w:rsid w:val="007136D7"/>
    <w:rsid w:val="00724CA2"/>
    <w:rsid w:val="00747A38"/>
    <w:rsid w:val="00750B8B"/>
    <w:rsid w:val="007E2E0C"/>
    <w:rsid w:val="00810984"/>
    <w:rsid w:val="00894057"/>
    <w:rsid w:val="008B760F"/>
    <w:rsid w:val="008C4B08"/>
    <w:rsid w:val="008D07CE"/>
    <w:rsid w:val="008E2351"/>
    <w:rsid w:val="008E2CD4"/>
    <w:rsid w:val="008E4A2C"/>
    <w:rsid w:val="0090369F"/>
    <w:rsid w:val="00923B77"/>
    <w:rsid w:val="0099302C"/>
    <w:rsid w:val="009D5EC6"/>
    <w:rsid w:val="009D6FF0"/>
    <w:rsid w:val="00A5599C"/>
    <w:rsid w:val="00A92E92"/>
    <w:rsid w:val="00AB5415"/>
    <w:rsid w:val="00AC70D3"/>
    <w:rsid w:val="00AC726B"/>
    <w:rsid w:val="00AE0BBD"/>
    <w:rsid w:val="00B31AF1"/>
    <w:rsid w:val="00B32F98"/>
    <w:rsid w:val="00B4796B"/>
    <w:rsid w:val="00B63F96"/>
    <w:rsid w:val="00B9064B"/>
    <w:rsid w:val="00BA4D18"/>
    <w:rsid w:val="00BF74F9"/>
    <w:rsid w:val="00C605A2"/>
    <w:rsid w:val="00C7295E"/>
    <w:rsid w:val="00C74096"/>
    <w:rsid w:val="00C970FB"/>
    <w:rsid w:val="00D0259C"/>
    <w:rsid w:val="00D16E10"/>
    <w:rsid w:val="00D77894"/>
    <w:rsid w:val="00D804B4"/>
    <w:rsid w:val="00DA14C1"/>
    <w:rsid w:val="00DC6CC7"/>
    <w:rsid w:val="00DD0201"/>
    <w:rsid w:val="00DE64E4"/>
    <w:rsid w:val="00E2597B"/>
    <w:rsid w:val="00E31FF7"/>
    <w:rsid w:val="00E32F5A"/>
    <w:rsid w:val="00E36C4C"/>
    <w:rsid w:val="00E548C6"/>
    <w:rsid w:val="00E5647E"/>
    <w:rsid w:val="00E61674"/>
    <w:rsid w:val="00E6185B"/>
    <w:rsid w:val="00EB73FC"/>
    <w:rsid w:val="00ED52F8"/>
    <w:rsid w:val="00EE7E9B"/>
    <w:rsid w:val="00F31D93"/>
    <w:rsid w:val="00F747DC"/>
    <w:rsid w:val="00F85FA0"/>
    <w:rsid w:val="00F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0B8F3E00"/>
  <w15:docId w15:val="{B8BC132D-50CE-46E6-8CB6-33B0A8F7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F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568A"/>
    <w:pPr>
      <w:ind w:left="720"/>
      <w:contextualSpacing/>
    </w:pPr>
  </w:style>
  <w:style w:type="paragraph" w:customStyle="1" w:styleId="BodyText21">
    <w:name w:val="Body Text 21"/>
    <w:basedOn w:val="Normln"/>
    <w:rsid w:val="0034568A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456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9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8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C56"/>
  </w:style>
  <w:style w:type="paragraph" w:styleId="Zpat">
    <w:name w:val="footer"/>
    <w:basedOn w:val="Normln"/>
    <w:link w:val="ZpatChar"/>
    <w:uiPriority w:val="99"/>
    <w:unhideWhenUsed/>
    <w:rsid w:val="0068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C56"/>
  </w:style>
  <w:style w:type="table" w:styleId="Mkatabulky">
    <w:name w:val="Table Grid"/>
    <w:basedOn w:val="Normlntabulka"/>
    <w:uiPriority w:val="39"/>
    <w:rsid w:val="0038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0B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zarybnicky@mu.tur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70A5D-8307-4A5B-9A24-53D4105A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1644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Richard Mochal</cp:lastModifiedBy>
  <cp:revision>17</cp:revision>
  <dcterms:created xsi:type="dcterms:W3CDTF">2023-08-25T09:08:00Z</dcterms:created>
  <dcterms:modified xsi:type="dcterms:W3CDTF">2025-11-27T08:33:00Z</dcterms:modified>
</cp:coreProperties>
</file>